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C27B40D" w:rsidR="00A160B2" w:rsidRDefault="006F1291" w:rsidP="00A160B2">
      <w:pPr>
        <w:spacing w:after="480"/>
      </w:pPr>
      <w:r>
        <w:rPr>
          <w:noProof/>
        </w:rPr>
        <w:drawing>
          <wp:inline distT="0" distB="0" distL="0" distR="0" wp14:anchorId="1A334804" wp14:editId="3C5E8D82">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8647" w:type="dxa"/>
        <w:tblLook w:val="0000" w:firstRow="0" w:lastRow="0" w:firstColumn="0" w:lastColumn="0" w:noHBand="0" w:noVBand="0"/>
        <w:tblCaption w:val="Cabinet report summary details"/>
      </w:tblPr>
      <w:tblGrid>
        <w:gridCol w:w="3388"/>
        <w:gridCol w:w="5259"/>
      </w:tblGrid>
      <w:tr w:rsidR="00A160B2" w14:paraId="3E9231EB" w14:textId="77777777" w:rsidTr="00E01FE2">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pPr>
            <w:r>
              <w:t>Report f</w:t>
            </w:r>
            <w:r w:rsidRPr="00C869F3">
              <w:t>or:</w:t>
            </w:r>
          </w:p>
        </w:tc>
        <w:tc>
          <w:tcPr>
            <w:tcW w:w="5259" w:type="dxa"/>
            <w:tcBorders>
              <w:bottom w:val="single" w:sz="18" w:space="0" w:color="auto"/>
            </w:tcBorders>
          </w:tcPr>
          <w:p w14:paraId="55A88F66" w14:textId="5E5C490E" w:rsidR="00A160B2" w:rsidRPr="00DF7356" w:rsidRDefault="00CB0A8A" w:rsidP="006C3150">
            <w:pPr>
              <w:pStyle w:val="Heading1"/>
            </w:pPr>
            <w:r>
              <w:rPr>
                <w:szCs w:val="36"/>
              </w:rPr>
              <w:t>GOVERNANCE, AUDIT, RISK MANAGEMENT AND STANDARDS COMMITTEE</w:t>
            </w:r>
          </w:p>
        </w:tc>
      </w:tr>
      <w:tr w:rsidR="00A160B2" w14:paraId="5281F5A9" w14:textId="77777777" w:rsidTr="00E01FE2">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259" w:type="dxa"/>
            <w:tcBorders>
              <w:top w:val="single" w:sz="18" w:space="0" w:color="auto"/>
            </w:tcBorders>
          </w:tcPr>
          <w:p w14:paraId="495EBCE8" w14:textId="07880974" w:rsidR="00A160B2" w:rsidRDefault="00E25BE4" w:rsidP="006C3150">
            <w:pPr>
              <w:pStyle w:val="Infotext"/>
              <w:rPr>
                <w:rFonts w:cs="Arial"/>
              </w:rPr>
            </w:pPr>
            <w:r>
              <w:rPr>
                <w:rFonts w:cs="Arial"/>
              </w:rPr>
              <w:t>19 March</w:t>
            </w:r>
            <w:r w:rsidR="009E3439">
              <w:rPr>
                <w:rFonts w:cs="Arial"/>
              </w:rPr>
              <w:t xml:space="preserve"> 202</w:t>
            </w:r>
            <w:r w:rsidR="00B10579">
              <w:rPr>
                <w:rFonts w:cs="Arial"/>
              </w:rPr>
              <w:t>4</w:t>
            </w:r>
            <w:r w:rsidR="009E3439">
              <w:rPr>
                <w:rFonts w:cs="Arial"/>
              </w:rPr>
              <w:t xml:space="preserve"> </w:t>
            </w:r>
          </w:p>
        </w:tc>
      </w:tr>
      <w:tr w:rsidR="00A160B2" w14:paraId="79B879D4" w14:textId="77777777" w:rsidTr="00E01FE2">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259" w:type="dxa"/>
          </w:tcPr>
          <w:p w14:paraId="60146042" w14:textId="77777777" w:rsidR="00FD7522" w:rsidRDefault="007E7601" w:rsidP="007E7601">
            <w:pPr>
              <w:pStyle w:val="Infotext"/>
              <w:rPr>
                <w:rFonts w:ascii="Arial Black" w:hAnsi="Arial Black" w:cs="Arial"/>
              </w:rPr>
            </w:pPr>
            <w:r w:rsidRPr="00E026EE">
              <w:rPr>
                <w:rFonts w:ascii="Arial Black" w:hAnsi="Arial Black" w:cs="Arial"/>
              </w:rPr>
              <w:t xml:space="preserve">INFORMATION REPORT – </w:t>
            </w:r>
          </w:p>
          <w:p w14:paraId="619904AE" w14:textId="2B6AB801" w:rsidR="007E7601" w:rsidRDefault="007E7601" w:rsidP="007E7601">
            <w:pPr>
              <w:pStyle w:val="Infotext"/>
              <w:rPr>
                <w:rFonts w:ascii="Arial Black" w:hAnsi="Arial Black" w:cs="Arial"/>
              </w:rPr>
            </w:pPr>
            <w:r>
              <w:rPr>
                <w:rFonts w:ascii="Arial Black" w:hAnsi="Arial Black" w:cs="Arial"/>
              </w:rPr>
              <w:t xml:space="preserve">Corporate Risk Register 2023/24 </w:t>
            </w:r>
            <w:r w:rsidR="00FD7522">
              <w:rPr>
                <w:rFonts w:ascii="Arial Black" w:hAnsi="Arial Black" w:cs="Arial"/>
              </w:rPr>
              <w:t>Update Q3</w:t>
            </w:r>
          </w:p>
          <w:p w14:paraId="5914456E" w14:textId="77777777" w:rsidR="00A160B2" w:rsidRDefault="00A160B2" w:rsidP="006C3150">
            <w:pPr>
              <w:pStyle w:val="Infotext"/>
              <w:rPr>
                <w:rFonts w:cs="Arial"/>
              </w:rPr>
            </w:pPr>
          </w:p>
        </w:tc>
      </w:tr>
      <w:tr w:rsidR="00A160B2" w14:paraId="3A5E0F07" w14:textId="77777777" w:rsidTr="00E01FE2">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259" w:type="dxa"/>
          </w:tcPr>
          <w:p w14:paraId="3CF266C9" w14:textId="746CEAB1" w:rsidR="00A160B2" w:rsidRDefault="00FD7522" w:rsidP="006C3150">
            <w:pPr>
              <w:pStyle w:val="Infotext"/>
              <w:rPr>
                <w:rFonts w:cs="Arial"/>
              </w:rPr>
            </w:pPr>
            <w:r w:rsidRPr="00FC57C9">
              <w:rPr>
                <w:rFonts w:cs="Arial"/>
                <w:sz w:val="24"/>
                <w:szCs w:val="24"/>
              </w:rPr>
              <w:t>Sharon Daniels, Interim Director of Finance &amp; Assurance</w:t>
            </w:r>
            <w:r>
              <w:rPr>
                <w:rFonts w:cs="Arial"/>
              </w:rPr>
              <w:t xml:space="preserve"> </w:t>
            </w:r>
          </w:p>
        </w:tc>
      </w:tr>
      <w:tr w:rsidR="00A160B2" w14:paraId="7AFCAE74" w14:textId="77777777" w:rsidTr="00E01FE2">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259" w:type="dxa"/>
          </w:tcPr>
          <w:p w14:paraId="4C873B59" w14:textId="6B4BB0D3" w:rsidR="00A160B2" w:rsidRPr="00FD7522" w:rsidRDefault="00BA68B7" w:rsidP="00BA68B7">
            <w:pPr>
              <w:pStyle w:val="Infotext"/>
              <w:rPr>
                <w:rFonts w:cs="Arial"/>
                <w:sz w:val="24"/>
                <w:szCs w:val="24"/>
              </w:rPr>
            </w:pPr>
            <w:r w:rsidRPr="00FD7522">
              <w:rPr>
                <w:rFonts w:cs="Arial"/>
                <w:sz w:val="24"/>
                <w:szCs w:val="24"/>
              </w:rPr>
              <w:t xml:space="preserve">No </w:t>
            </w:r>
          </w:p>
        </w:tc>
      </w:tr>
      <w:tr w:rsidR="00A160B2" w14:paraId="521D9222" w14:textId="77777777" w:rsidTr="00E01FE2">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259" w:type="dxa"/>
          </w:tcPr>
          <w:p w14:paraId="7B906090" w14:textId="361C9C00" w:rsidR="00A160B2" w:rsidRPr="00FD7522" w:rsidRDefault="00B362EE" w:rsidP="006C3150">
            <w:pPr>
              <w:pStyle w:val="Infotext"/>
              <w:rPr>
                <w:rFonts w:cs="Arial"/>
                <w:sz w:val="24"/>
                <w:szCs w:val="24"/>
              </w:rPr>
            </w:pPr>
            <w:r w:rsidRPr="00FD7522">
              <w:rPr>
                <w:rFonts w:cs="Arial"/>
                <w:sz w:val="24"/>
                <w:szCs w:val="24"/>
              </w:rPr>
              <w:t xml:space="preserve">All </w:t>
            </w:r>
          </w:p>
          <w:p w14:paraId="6CD568AC" w14:textId="7E9E6C3E" w:rsidR="00A160B2" w:rsidRDefault="00A160B2" w:rsidP="006C3150">
            <w:pPr>
              <w:pStyle w:val="Infotext"/>
            </w:pPr>
          </w:p>
        </w:tc>
      </w:tr>
      <w:tr w:rsidR="00A160B2" w14:paraId="7C35C184" w14:textId="77777777" w:rsidTr="00E01FE2">
        <w:tc>
          <w:tcPr>
            <w:tcW w:w="3388"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259" w:type="dxa"/>
          </w:tcPr>
          <w:p w14:paraId="779C097D" w14:textId="478308DC" w:rsidR="00E46DCE" w:rsidRPr="00FD7522" w:rsidRDefault="00E46DCE" w:rsidP="00E46DCE">
            <w:pPr>
              <w:pStyle w:val="Infotext"/>
              <w:rPr>
                <w:rFonts w:cs="Arial"/>
                <w:sz w:val="24"/>
                <w:szCs w:val="24"/>
              </w:rPr>
            </w:pPr>
            <w:r w:rsidRPr="00FD7522">
              <w:rPr>
                <w:rFonts w:cs="Arial"/>
                <w:sz w:val="24"/>
                <w:szCs w:val="24"/>
              </w:rPr>
              <w:t>Appendix 1</w:t>
            </w:r>
            <w:r w:rsidR="006A1960" w:rsidRPr="00FD7522">
              <w:rPr>
                <w:rFonts w:cs="Arial"/>
                <w:sz w:val="24"/>
                <w:szCs w:val="24"/>
              </w:rPr>
              <w:t xml:space="preserve"> –</w:t>
            </w:r>
            <w:r w:rsidRPr="00FD7522">
              <w:rPr>
                <w:rFonts w:cs="Arial"/>
                <w:sz w:val="24"/>
                <w:szCs w:val="24"/>
              </w:rPr>
              <w:t xml:space="preserve"> </w:t>
            </w:r>
            <w:r w:rsidR="006A1960" w:rsidRPr="00FD7522">
              <w:rPr>
                <w:rFonts w:cs="Arial"/>
                <w:sz w:val="24"/>
                <w:szCs w:val="24"/>
              </w:rPr>
              <w:t xml:space="preserve">Summary Report: </w:t>
            </w:r>
            <w:r w:rsidRPr="00FD7522">
              <w:rPr>
                <w:rFonts w:cs="Arial"/>
                <w:sz w:val="24"/>
                <w:szCs w:val="24"/>
              </w:rPr>
              <w:t xml:space="preserve">Q3 Corporate Risk Register 2023/24 </w:t>
            </w:r>
          </w:p>
          <w:p w14:paraId="4845C24E" w14:textId="6421FBB4" w:rsidR="006469A4" w:rsidRPr="00FD7522" w:rsidRDefault="006469A4" w:rsidP="006469A4">
            <w:pPr>
              <w:pStyle w:val="Infotext"/>
              <w:rPr>
                <w:rFonts w:cs="Arial"/>
                <w:sz w:val="24"/>
                <w:szCs w:val="24"/>
              </w:rPr>
            </w:pPr>
            <w:r w:rsidRPr="00FD7522">
              <w:rPr>
                <w:rFonts w:cs="Arial"/>
                <w:sz w:val="24"/>
                <w:szCs w:val="24"/>
              </w:rPr>
              <w:t xml:space="preserve">Appendix </w:t>
            </w:r>
            <w:r w:rsidR="00E46DCE" w:rsidRPr="00FD7522">
              <w:rPr>
                <w:rFonts w:cs="Arial"/>
                <w:sz w:val="24"/>
                <w:szCs w:val="24"/>
              </w:rPr>
              <w:t>2</w:t>
            </w:r>
            <w:r w:rsidRPr="00FD7522">
              <w:rPr>
                <w:rFonts w:cs="Arial"/>
                <w:sz w:val="24"/>
                <w:szCs w:val="24"/>
              </w:rPr>
              <w:t>- Q</w:t>
            </w:r>
            <w:r w:rsidR="00E46DCE" w:rsidRPr="00FD7522">
              <w:rPr>
                <w:rFonts w:cs="Arial"/>
                <w:sz w:val="24"/>
                <w:szCs w:val="24"/>
              </w:rPr>
              <w:t>3</w:t>
            </w:r>
            <w:r w:rsidRPr="00FD7522">
              <w:rPr>
                <w:rFonts w:cs="Arial"/>
                <w:sz w:val="24"/>
                <w:szCs w:val="24"/>
              </w:rPr>
              <w:t xml:space="preserve"> Corporate Risk Register 2023/24 </w:t>
            </w:r>
          </w:p>
          <w:p w14:paraId="4C232B02" w14:textId="39F006E8" w:rsidR="00A160B2" w:rsidRDefault="00A160B2" w:rsidP="006C3150">
            <w:pPr>
              <w:pStyle w:val="Infotext"/>
            </w:pPr>
          </w:p>
        </w:tc>
      </w:tr>
    </w:tbl>
    <w:p w14:paraId="022EC7BF" w14:textId="77777777" w:rsidR="00FD7522" w:rsidRDefault="00FD7522" w:rsidP="00F9369C">
      <w:pPr>
        <w:ind w:right="-338"/>
        <w:rPr>
          <w:rFonts w:ascii="Arial Black" w:hAnsi="Arial Black"/>
          <w:sz w:val="32"/>
          <w:szCs w:val="32"/>
        </w:rPr>
      </w:pPr>
    </w:p>
    <w:p w14:paraId="18A939CB" w14:textId="7BF50787" w:rsidR="007855AE" w:rsidRDefault="00F9369C" w:rsidP="00F9369C">
      <w:pPr>
        <w:ind w:right="-338"/>
        <w:rPr>
          <w:rFonts w:cs="Arial"/>
          <w:szCs w:val="24"/>
        </w:rPr>
      </w:pPr>
      <w:r>
        <w:rPr>
          <w:rFonts w:ascii="Arial Black" w:hAnsi="Arial Black"/>
          <w:sz w:val="32"/>
          <w:szCs w:val="32"/>
        </w:rPr>
        <w:t xml:space="preserve"> Section One – Summary and Recommendations </w:t>
      </w:r>
    </w:p>
    <w:p w14:paraId="68283E32" w14:textId="77777777" w:rsidR="00F9369C" w:rsidRDefault="00F9369C">
      <w:pPr>
        <w:rPr>
          <w:rFonts w:cs="Arial"/>
          <w:szCs w:val="24"/>
        </w:rPr>
      </w:pPr>
    </w:p>
    <w:tbl>
      <w:tblPr>
        <w:tblStyle w:val="TableGrid"/>
        <w:tblW w:w="8642" w:type="dxa"/>
        <w:tblInd w:w="-5" w:type="dxa"/>
        <w:tblLook w:val="04A0" w:firstRow="1" w:lastRow="0" w:firstColumn="1" w:lastColumn="0" w:noHBand="0" w:noVBand="1"/>
      </w:tblPr>
      <w:tblGrid>
        <w:gridCol w:w="8642"/>
      </w:tblGrid>
      <w:tr w:rsidR="00F9369C" w14:paraId="1C977EB1" w14:textId="77777777" w:rsidTr="00E01FE2">
        <w:tc>
          <w:tcPr>
            <w:tcW w:w="8642" w:type="dxa"/>
          </w:tcPr>
          <w:p w14:paraId="156E8406" w14:textId="02B6A69B" w:rsidR="003E72C5" w:rsidRPr="00FD7522" w:rsidRDefault="003E72C5" w:rsidP="003E72C5">
            <w:pPr>
              <w:shd w:val="clear" w:color="auto" w:fill="FFFFFF"/>
              <w:jc w:val="both"/>
              <w:rPr>
                <w:szCs w:val="24"/>
              </w:rPr>
            </w:pPr>
            <w:r w:rsidRPr="00FD7522">
              <w:rPr>
                <w:szCs w:val="24"/>
              </w:rPr>
              <w:t xml:space="preserve">This report sets out the Council’s Corporate Risk Register 2023/24 for </w:t>
            </w:r>
            <w:r w:rsidR="009022E1">
              <w:rPr>
                <w:szCs w:val="24"/>
              </w:rPr>
              <w:t xml:space="preserve">Q3 </w:t>
            </w:r>
            <w:r w:rsidRPr="00FD7522">
              <w:rPr>
                <w:szCs w:val="24"/>
              </w:rPr>
              <w:t>of the financial year to assist the GARMS Committee in monitoring progress on risk management in accordance with their Terms of Reference.</w:t>
            </w:r>
          </w:p>
          <w:p w14:paraId="4BCB8783" w14:textId="77777777" w:rsidR="003E72C5" w:rsidRPr="00FD7522" w:rsidRDefault="003E72C5" w:rsidP="003E72C5">
            <w:pPr>
              <w:shd w:val="clear" w:color="auto" w:fill="FFFFFF"/>
              <w:jc w:val="both"/>
              <w:rPr>
                <w:szCs w:val="24"/>
              </w:rPr>
            </w:pPr>
          </w:p>
          <w:p w14:paraId="5A1A824E" w14:textId="77777777" w:rsidR="003E72C5" w:rsidRPr="00FD7522" w:rsidRDefault="003E72C5" w:rsidP="003E72C5">
            <w:pPr>
              <w:rPr>
                <w:rFonts w:cs="Arial"/>
                <w:b/>
                <w:bCs/>
                <w:szCs w:val="24"/>
              </w:rPr>
            </w:pPr>
            <w:bookmarkStart w:id="0" w:name="_Hlk138748569"/>
            <w:r w:rsidRPr="00FD7522">
              <w:rPr>
                <w:rFonts w:cs="Arial"/>
                <w:b/>
                <w:bCs/>
                <w:szCs w:val="24"/>
              </w:rPr>
              <w:t xml:space="preserve">Recommendations: </w:t>
            </w:r>
          </w:p>
          <w:p w14:paraId="1C0876BB" w14:textId="7D61E01E" w:rsidR="00F9369C" w:rsidRPr="00FD7522" w:rsidRDefault="003E72C5" w:rsidP="003E72C5">
            <w:pPr>
              <w:rPr>
                <w:rFonts w:cs="Arial"/>
                <w:szCs w:val="24"/>
              </w:rPr>
            </w:pPr>
            <w:r w:rsidRPr="00FD7522">
              <w:rPr>
                <w:rFonts w:cs="Arial"/>
                <w:szCs w:val="24"/>
              </w:rPr>
              <w:t>The Committee is requested to note the following INFORMATION REPORT –Corporate Risk Register 2023/2</w:t>
            </w:r>
            <w:bookmarkEnd w:id="0"/>
            <w:r w:rsidRPr="00FD7522">
              <w:rPr>
                <w:rFonts w:cs="Arial"/>
                <w:szCs w:val="24"/>
              </w:rPr>
              <w:t>4</w:t>
            </w:r>
            <w:r w:rsidR="00F02375">
              <w:rPr>
                <w:rFonts w:cs="Arial"/>
                <w:szCs w:val="24"/>
              </w:rPr>
              <w:t xml:space="preserve"> Q3 Update</w:t>
            </w:r>
          </w:p>
          <w:p w14:paraId="1CAFBAA1" w14:textId="071BE467" w:rsidR="00F9369C" w:rsidRDefault="00F9369C">
            <w:pPr>
              <w:rPr>
                <w:rFonts w:cs="Arial"/>
                <w:szCs w:val="24"/>
              </w:rPr>
            </w:pPr>
          </w:p>
        </w:tc>
      </w:tr>
    </w:tbl>
    <w:p w14:paraId="0E66E9E7" w14:textId="1CC62D9B" w:rsidR="00BA68B7" w:rsidRDefault="00BA68B7" w:rsidP="00A160B2">
      <w:pPr>
        <w:pStyle w:val="Heading2"/>
      </w:pPr>
    </w:p>
    <w:p w14:paraId="79D049A1" w14:textId="46A599C7" w:rsidR="00FD7522" w:rsidRDefault="00FD7522" w:rsidP="00FD7522"/>
    <w:p w14:paraId="5A093D89" w14:textId="2F8A8D3B" w:rsidR="00FD7522" w:rsidRDefault="00FD7522" w:rsidP="00FD7522"/>
    <w:p w14:paraId="7158EFD1" w14:textId="77777777" w:rsidR="00FD7522" w:rsidRPr="00FD7522" w:rsidRDefault="00FD7522" w:rsidP="00FD7522"/>
    <w:p w14:paraId="53DC7DE2" w14:textId="5F914462" w:rsidR="002A2389" w:rsidRDefault="002A2389" w:rsidP="00A160B2">
      <w:pPr>
        <w:pStyle w:val="Heading2"/>
      </w:pPr>
      <w:r>
        <w:lastRenderedPageBreak/>
        <w:t>Section 2 – Report</w:t>
      </w:r>
    </w:p>
    <w:p w14:paraId="62F941A2" w14:textId="77777777" w:rsidR="00FD7522" w:rsidRPr="00FD7522" w:rsidRDefault="00FD7522" w:rsidP="00FD7522"/>
    <w:p w14:paraId="7D4FD7B0" w14:textId="7B53FBF9" w:rsidR="00D802B4" w:rsidRPr="004B042D" w:rsidRDefault="00D802B4" w:rsidP="00FD7522">
      <w:pPr>
        <w:pStyle w:val="Heading2"/>
        <w:spacing w:before="0"/>
        <w:rPr>
          <w:b/>
          <w:sz w:val="26"/>
          <w:szCs w:val="26"/>
        </w:rPr>
      </w:pPr>
      <w:r w:rsidRPr="004B042D">
        <w:rPr>
          <w:b/>
          <w:sz w:val="26"/>
          <w:szCs w:val="26"/>
        </w:rPr>
        <w:t>Corporate Risk Register</w:t>
      </w:r>
      <w:r>
        <w:rPr>
          <w:b/>
          <w:sz w:val="26"/>
          <w:szCs w:val="26"/>
        </w:rPr>
        <w:t xml:space="preserve"> 2023/24 Q3</w:t>
      </w:r>
    </w:p>
    <w:p w14:paraId="7B1284A7" w14:textId="77777777" w:rsidR="00D802B4" w:rsidRDefault="00D802B4" w:rsidP="00D802B4">
      <w:pPr>
        <w:rPr>
          <w:rFonts w:cs="Arial"/>
        </w:rPr>
      </w:pPr>
    </w:p>
    <w:p w14:paraId="5BD540B5" w14:textId="0825818C" w:rsidR="00D802B4" w:rsidRDefault="00D802B4" w:rsidP="005570C3">
      <w:pPr>
        <w:ind w:left="567" w:hanging="567"/>
        <w:jc w:val="both"/>
        <w:rPr>
          <w:rFonts w:cs="Arial"/>
        </w:rPr>
      </w:pPr>
      <w:r>
        <w:rPr>
          <w:rFonts w:cs="Arial"/>
        </w:rPr>
        <w:t>2.1</w:t>
      </w:r>
      <w:r>
        <w:rPr>
          <w:rFonts w:cs="Arial"/>
        </w:rPr>
        <w:tab/>
      </w:r>
      <w:r w:rsidRPr="009D52E3">
        <w:rPr>
          <w:rFonts w:cs="Arial"/>
        </w:rPr>
        <w:t xml:space="preserve">The Council’s Corporate Risk </w:t>
      </w:r>
      <w:r>
        <w:rPr>
          <w:rFonts w:cs="Arial"/>
        </w:rPr>
        <w:t>Register 2023/24 Quarter 3 (Q3) is attached (Appendix 1</w:t>
      </w:r>
      <w:r w:rsidRPr="009D52E3">
        <w:rPr>
          <w:rFonts w:cs="Arial"/>
        </w:rPr>
        <w:t>)</w:t>
      </w:r>
      <w:r>
        <w:rPr>
          <w:rFonts w:cs="Arial"/>
        </w:rPr>
        <w:t xml:space="preserve">. The risks and </w:t>
      </w:r>
      <w:r w:rsidRPr="00B431C0">
        <w:rPr>
          <w:rFonts w:cs="Arial"/>
        </w:rPr>
        <w:t xml:space="preserve">the risk ratings in the corporate risk register </w:t>
      </w:r>
      <w:r>
        <w:rPr>
          <w:rFonts w:cs="Arial"/>
        </w:rPr>
        <w:t xml:space="preserve">have been </w:t>
      </w:r>
      <w:r w:rsidRPr="00B431C0">
        <w:rPr>
          <w:rFonts w:cs="Arial"/>
        </w:rPr>
        <w:t xml:space="preserve">reviewed </w:t>
      </w:r>
      <w:r>
        <w:rPr>
          <w:rFonts w:cs="Arial"/>
        </w:rPr>
        <w:t>for Q3 with control and risk owners and other relevant managers</w:t>
      </w:r>
      <w:r w:rsidRPr="00B431C0">
        <w:rPr>
          <w:rFonts w:cs="Arial"/>
        </w:rPr>
        <w:t xml:space="preserve">. </w:t>
      </w:r>
      <w:r>
        <w:rPr>
          <w:rFonts w:cs="Arial"/>
        </w:rPr>
        <w:t xml:space="preserve"> </w:t>
      </w:r>
    </w:p>
    <w:p w14:paraId="1F203540" w14:textId="77777777" w:rsidR="00D802B4" w:rsidRDefault="00D802B4" w:rsidP="00D802B4">
      <w:pPr>
        <w:ind w:left="567" w:hanging="567"/>
        <w:jc w:val="both"/>
        <w:rPr>
          <w:rFonts w:cs="Arial"/>
        </w:rPr>
      </w:pPr>
    </w:p>
    <w:p w14:paraId="31A79565" w14:textId="6BAF359A" w:rsidR="00D802B4" w:rsidRDefault="00D802B4" w:rsidP="00D802B4">
      <w:pPr>
        <w:ind w:left="567" w:hanging="567"/>
        <w:jc w:val="both"/>
        <w:rPr>
          <w:rFonts w:cs="Arial"/>
        </w:rPr>
      </w:pPr>
      <w:r>
        <w:rPr>
          <w:rFonts w:cs="Arial"/>
        </w:rPr>
        <w:t>2.3</w:t>
      </w:r>
      <w:r>
        <w:rPr>
          <w:rFonts w:cs="Arial"/>
        </w:rPr>
        <w:tab/>
        <w:t xml:space="preserve">During Quarter 3 an exercise was undertaken (in conjunction with and with the agreement of the relevant control and risk owners) to summarise and prioritise the high level of operational detail that was contained in risks in the risk register (and specifically in the Causes, Consequences and Controls sections of the risks). This was carried out to ensure information contained in the risk register remained strategic in its character and presentation and so appropriate to support decision-making at the strategic level.  </w:t>
      </w:r>
    </w:p>
    <w:p w14:paraId="14863FF2" w14:textId="77777777" w:rsidR="00D802B4" w:rsidRDefault="00D802B4" w:rsidP="002F70B5">
      <w:pPr>
        <w:ind w:left="567" w:hanging="567"/>
        <w:jc w:val="both"/>
        <w:rPr>
          <w:rFonts w:cs="Arial"/>
        </w:rPr>
      </w:pPr>
    </w:p>
    <w:p w14:paraId="7F41842F" w14:textId="4D7160C3" w:rsidR="00CD0FF2" w:rsidRDefault="002F70B5" w:rsidP="00CD0FF2">
      <w:pPr>
        <w:ind w:left="567" w:hanging="567"/>
        <w:jc w:val="both"/>
        <w:rPr>
          <w:rFonts w:cs="Arial"/>
        </w:rPr>
      </w:pPr>
      <w:r>
        <w:rPr>
          <w:rFonts w:cs="Arial"/>
        </w:rPr>
        <w:t>2.</w:t>
      </w:r>
      <w:r w:rsidR="009E09BE">
        <w:rPr>
          <w:rFonts w:cs="Arial"/>
        </w:rPr>
        <w:t>4</w:t>
      </w:r>
      <w:r>
        <w:rPr>
          <w:rFonts w:cs="Arial"/>
        </w:rPr>
        <w:t xml:space="preserve"> </w:t>
      </w:r>
      <w:r w:rsidR="00B92880">
        <w:rPr>
          <w:rFonts w:cs="Arial"/>
        </w:rPr>
        <w:t xml:space="preserve"> </w:t>
      </w:r>
      <w:r w:rsidR="009022E1">
        <w:rPr>
          <w:rFonts w:cs="Arial"/>
        </w:rPr>
        <w:t xml:space="preserve"> </w:t>
      </w:r>
      <w:r>
        <w:rPr>
          <w:rFonts w:cs="Arial"/>
        </w:rPr>
        <w:t xml:space="preserve">There are currently 15 open risks and one closed risk in the Quarter 3 20223/24 risk register, making a total of 16 risks on the register. </w:t>
      </w:r>
      <w:r w:rsidR="000277AA">
        <w:rPr>
          <w:rFonts w:cs="Arial"/>
        </w:rPr>
        <w:t xml:space="preserve">Three </w:t>
      </w:r>
      <w:r>
        <w:rPr>
          <w:rFonts w:cs="Arial"/>
        </w:rPr>
        <w:t xml:space="preserve">of the 15 open risks on the register </w:t>
      </w:r>
      <w:r w:rsidRPr="009E064C">
        <w:rPr>
          <w:rFonts w:cs="Arial"/>
          <w:b/>
          <w:bCs/>
        </w:rPr>
        <w:t>(</w:t>
      </w:r>
      <w:r w:rsidR="000F55FE">
        <w:rPr>
          <w:rFonts w:cs="Arial"/>
          <w:b/>
          <w:bCs/>
        </w:rPr>
        <w:t>2</w:t>
      </w:r>
      <w:r>
        <w:rPr>
          <w:rFonts w:cs="Arial"/>
          <w:b/>
          <w:bCs/>
        </w:rPr>
        <w:t>0</w:t>
      </w:r>
      <w:r w:rsidRPr="009E064C">
        <w:rPr>
          <w:rFonts w:cs="Arial"/>
          <w:b/>
          <w:bCs/>
        </w:rPr>
        <w:t>%)</w:t>
      </w:r>
      <w:r w:rsidRPr="00A20281">
        <w:rPr>
          <w:rFonts w:cs="Arial"/>
          <w:b/>
          <w:bCs/>
        </w:rPr>
        <w:t xml:space="preserve"> </w:t>
      </w:r>
      <w:r>
        <w:rPr>
          <w:rFonts w:cs="Arial"/>
        </w:rPr>
        <w:t xml:space="preserve">are rated red, </w:t>
      </w:r>
      <w:r w:rsidR="00A435D2">
        <w:rPr>
          <w:rFonts w:cs="Arial"/>
        </w:rPr>
        <w:t xml:space="preserve">eleven </w:t>
      </w:r>
      <w:r>
        <w:rPr>
          <w:rFonts w:cs="Arial"/>
        </w:rPr>
        <w:t xml:space="preserve">of the risks </w:t>
      </w:r>
      <w:r w:rsidRPr="00A20281">
        <w:rPr>
          <w:rFonts w:cs="Arial"/>
          <w:b/>
          <w:bCs/>
        </w:rPr>
        <w:t>(</w:t>
      </w:r>
      <w:r w:rsidR="00582899">
        <w:rPr>
          <w:rFonts w:cs="Arial"/>
          <w:b/>
          <w:bCs/>
        </w:rPr>
        <w:t>73</w:t>
      </w:r>
      <w:r w:rsidRPr="00A20281">
        <w:rPr>
          <w:rFonts w:cs="Arial"/>
          <w:b/>
          <w:bCs/>
        </w:rPr>
        <w:t>%)</w:t>
      </w:r>
      <w:r>
        <w:rPr>
          <w:rFonts w:cs="Arial"/>
        </w:rPr>
        <w:t xml:space="preserve"> are rated amber and </w:t>
      </w:r>
      <w:r w:rsidR="00A435D2">
        <w:rPr>
          <w:rFonts w:cs="Arial"/>
        </w:rPr>
        <w:t xml:space="preserve">one </w:t>
      </w:r>
      <w:r>
        <w:rPr>
          <w:rFonts w:cs="Arial"/>
        </w:rPr>
        <w:t xml:space="preserve">risk </w:t>
      </w:r>
      <w:r w:rsidRPr="00A20281">
        <w:rPr>
          <w:rFonts w:cs="Arial"/>
          <w:b/>
          <w:bCs/>
        </w:rPr>
        <w:t>(</w:t>
      </w:r>
      <w:r w:rsidR="00FB7D6C">
        <w:rPr>
          <w:rFonts w:cs="Arial"/>
          <w:b/>
          <w:bCs/>
        </w:rPr>
        <w:t>7</w:t>
      </w:r>
      <w:r w:rsidRPr="00A20281">
        <w:rPr>
          <w:rFonts w:cs="Arial"/>
          <w:b/>
          <w:bCs/>
        </w:rPr>
        <w:t xml:space="preserve">%) </w:t>
      </w:r>
      <w:r w:rsidR="00284E23" w:rsidRPr="00284E23">
        <w:rPr>
          <w:rFonts w:cs="Arial"/>
        </w:rPr>
        <w:t xml:space="preserve">is </w:t>
      </w:r>
      <w:r>
        <w:rPr>
          <w:rFonts w:cs="Arial"/>
        </w:rPr>
        <w:t>rated green.</w:t>
      </w:r>
    </w:p>
    <w:p w14:paraId="2CA75DFE" w14:textId="77777777" w:rsidR="00CD0FF2" w:rsidRDefault="00CD0FF2" w:rsidP="00CD0FF2">
      <w:pPr>
        <w:ind w:left="567" w:hanging="567"/>
        <w:jc w:val="both"/>
        <w:rPr>
          <w:rFonts w:cs="Arial"/>
        </w:rPr>
      </w:pPr>
      <w:bookmarkStart w:id="1" w:name="_Hlk155719561"/>
    </w:p>
    <w:p w14:paraId="6B2776D1" w14:textId="66EA9482" w:rsidR="002F70B5" w:rsidRDefault="00CD0FF2" w:rsidP="00CD0FF2">
      <w:pPr>
        <w:ind w:left="567" w:hanging="567"/>
        <w:jc w:val="both"/>
        <w:rPr>
          <w:rFonts w:cs="Arial"/>
        </w:rPr>
      </w:pPr>
      <w:r>
        <w:rPr>
          <w:rFonts w:cs="Arial"/>
        </w:rPr>
        <w:t>2.5</w:t>
      </w:r>
      <w:r>
        <w:rPr>
          <w:rFonts w:cs="Arial"/>
        </w:rPr>
        <w:tab/>
      </w:r>
      <w:r w:rsidR="002F70B5" w:rsidRPr="00CD27BD">
        <w:rPr>
          <w:rFonts w:cs="Arial"/>
        </w:rPr>
        <w:t xml:space="preserve">In terms of risk movement, </w:t>
      </w:r>
      <w:r w:rsidR="007E5B67">
        <w:rPr>
          <w:rFonts w:cs="Arial"/>
        </w:rPr>
        <w:t xml:space="preserve">no risks </w:t>
      </w:r>
      <w:r w:rsidR="00133121" w:rsidRPr="0067177C">
        <w:rPr>
          <w:rFonts w:cs="Arial"/>
          <w:b/>
          <w:bCs/>
        </w:rPr>
        <w:t xml:space="preserve">(0%) </w:t>
      </w:r>
      <w:r w:rsidR="007E5B67">
        <w:rPr>
          <w:rFonts w:cs="Arial"/>
        </w:rPr>
        <w:t xml:space="preserve">have increased in their rating </w:t>
      </w:r>
      <w:r w:rsidR="00133121">
        <w:rPr>
          <w:rFonts w:cs="Arial"/>
        </w:rPr>
        <w:t xml:space="preserve">during Q3, </w:t>
      </w:r>
      <w:r w:rsidR="002F70B5" w:rsidRPr="00CD27BD">
        <w:rPr>
          <w:rFonts w:cs="Arial"/>
        </w:rPr>
        <w:t>the rating</w:t>
      </w:r>
      <w:r w:rsidR="002F70B5">
        <w:rPr>
          <w:rFonts w:cs="Arial"/>
        </w:rPr>
        <w:t xml:space="preserve"> of </w:t>
      </w:r>
      <w:r w:rsidR="00AD57C9">
        <w:rPr>
          <w:rFonts w:cs="Arial"/>
        </w:rPr>
        <w:t xml:space="preserve">eight </w:t>
      </w:r>
      <w:r w:rsidR="002F70B5">
        <w:rPr>
          <w:rFonts w:cs="Arial"/>
        </w:rPr>
        <w:t>risk</w:t>
      </w:r>
      <w:r w:rsidR="00AD57C9">
        <w:rPr>
          <w:rFonts w:cs="Arial"/>
        </w:rPr>
        <w:t>s</w:t>
      </w:r>
      <w:r w:rsidR="002F70B5">
        <w:rPr>
          <w:rFonts w:cs="Arial"/>
        </w:rPr>
        <w:t xml:space="preserve"> of the overall 16 risks </w:t>
      </w:r>
      <w:r w:rsidR="002F70B5" w:rsidRPr="00CD27BD">
        <w:rPr>
          <w:rFonts w:cs="Arial"/>
          <w:b/>
          <w:bCs/>
        </w:rPr>
        <w:t>(</w:t>
      </w:r>
      <w:r w:rsidR="00AD57C9">
        <w:rPr>
          <w:rFonts w:cs="Arial"/>
          <w:b/>
          <w:bCs/>
        </w:rPr>
        <w:t>5</w:t>
      </w:r>
      <w:r w:rsidR="007E5B67">
        <w:rPr>
          <w:rFonts w:cs="Arial"/>
          <w:b/>
          <w:bCs/>
        </w:rPr>
        <w:t>0</w:t>
      </w:r>
      <w:r w:rsidR="002F70B5" w:rsidRPr="00CD27BD">
        <w:rPr>
          <w:rFonts w:cs="Arial"/>
          <w:b/>
          <w:bCs/>
        </w:rPr>
        <w:t>%)</w:t>
      </w:r>
      <w:r w:rsidR="002F70B5" w:rsidRPr="00CD27BD">
        <w:rPr>
          <w:rFonts w:cs="Arial"/>
        </w:rPr>
        <w:t xml:space="preserve"> </w:t>
      </w:r>
      <w:r w:rsidR="002F70B5">
        <w:rPr>
          <w:rFonts w:cs="Arial"/>
        </w:rPr>
        <w:t xml:space="preserve">has </w:t>
      </w:r>
      <w:r w:rsidR="00575387">
        <w:rPr>
          <w:rFonts w:cs="Arial"/>
        </w:rPr>
        <w:t xml:space="preserve">reduced </w:t>
      </w:r>
      <w:r w:rsidR="002F70B5">
        <w:rPr>
          <w:rFonts w:cs="Arial"/>
        </w:rPr>
        <w:t xml:space="preserve">in </w:t>
      </w:r>
      <w:r w:rsidR="00594B33">
        <w:rPr>
          <w:rFonts w:cs="Arial"/>
        </w:rPr>
        <w:t xml:space="preserve">their </w:t>
      </w:r>
      <w:r w:rsidR="002F70B5">
        <w:rPr>
          <w:rFonts w:cs="Arial"/>
        </w:rPr>
        <w:t>significanc</w:t>
      </w:r>
      <w:r w:rsidR="00594B33">
        <w:rPr>
          <w:rFonts w:cs="Arial"/>
        </w:rPr>
        <w:t xml:space="preserve">e </w:t>
      </w:r>
      <w:r w:rsidR="00713A2C">
        <w:rPr>
          <w:rFonts w:cs="Arial"/>
        </w:rPr>
        <w:t xml:space="preserve">in Q3 </w:t>
      </w:r>
      <w:r w:rsidR="00575387">
        <w:rPr>
          <w:rFonts w:cs="Arial"/>
        </w:rPr>
        <w:t xml:space="preserve">and eight risks </w:t>
      </w:r>
      <w:r w:rsidR="002F70B5">
        <w:rPr>
          <w:rFonts w:cs="Arial"/>
        </w:rPr>
        <w:t>(</w:t>
      </w:r>
      <w:r w:rsidR="004F7403">
        <w:rPr>
          <w:rFonts w:cs="Arial"/>
          <w:b/>
          <w:bCs/>
        </w:rPr>
        <w:t>50</w:t>
      </w:r>
      <w:r w:rsidR="002F70B5">
        <w:rPr>
          <w:rFonts w:cs="Arial"/>
          <w:b/>
          <w:bCs/>
        </w:rPr>
        <w:t>%</w:t>
      </w:r>
      <w:r w:rsidR="002F70B5" w:rsidRPr="0099602B">
        <w:rPr>
          <w:rFonts w:cs="Arial"/>
          <w:b/>
          <w:bCs/>
        </w:rPr>
        <w:t>)</w:t>
      </w:r>
      <w:r w:rsidR="002F70B5">
        <w:rPr>
          <w:rFonts w:cs="Arial"/>
        </w:rPr>
        <w:t xml:space="preserve"> have </w:t>
      </w:r>
      <w:r w:rsidR="004F7403">
        <w:rPr>
          <w:rFonts w:cs="Arial"/>
        </w:rPr>
        <w:t xml:space="preserve">remained </w:t>
      </w:r>
      <w:r w:rsidR="00713A2C">
        <w:rPr>
          <w:rFonts w:cs="Arial"/>
        </w:rPr>
        <w:t xml:space="preserve">constant </w:t>
      </w:r>
      <w:r w:rsidR="00281131">
        <w:rPr>
          <w:rFonts w:cs="Arial"/>
        </w:rPr>
        <w:t>during the quarter</w:t>
      </w:r>
      <w:r w:rsidR="004F7403">
        <w:rPr>
          <w:rFonts w:cs="Arial"/>
        </w:rPr>
        <w:t xml:space="preserve">. </w:t>
      </w:r>
    </w:p>
    <w:p w14:paraId="2A944D2E" w14:textId="77777777" w:rsidR="00B246C1" w:rsidRDefault="00B246C1" w:rsidP="00594B33">
      <w:pPr>
        <w:tabs>
          <w:tab w:val="left" w:pos="3119"/>
        </w:tabs>
        <w:ind w:left="567" w:hanging="567"/>
        <w:jc w:val="both"/>
        <w:rPr>
          <w:rFonts w:cs="Arial"/>
        </w:rPr>
      </w:pPr>
    </w:p>
    <w:bookmarkEnd w:id="1"/>
    <w:p w14:paraId="624C8029" w14:textId="77777777" w:rsidR="00B246C1" w:rsidRPr="00B431C0" w:rsidRDefault="00B246C1" w:rsidP="00B246C1">
      <w:pPr>
        <w:ind w:left="567" w:hanging="567"/>
        <w:jc w:val="both"/>
        <w:rPr>
          <w:rFonts w:cs="Arial"/>
        </w:rPr>
      </w:pPr>
      <w:r>
        <w:rPr>
          <w:rFonts w:cs="Arial"/>
        </w:rPr>
        <w:t xml:space="preserve">2.6 </w:t>
      </w:r>
      <w:r>
        <w:rPr>
          <w:rFonts w:cs="Arial"/>
        </w:rPr>
        <w:tab/>
        <w:t>In</w:t>
      </w:r>
      <w:r w:rsidRPr="00B431C0">
        <w:rPr>
          <w:rFonts w:cs="Arial"/>
        </w:rPr>
        <w:t xml:space="preserve"> Q</w:t>
      </w:r>
      <w:r>
        <w:rPr>
          <w:rFonts w:cs="Arial"/>
        </w:rPr>
        <w:t xml:space="preserve">3 </w:t>
      </w:r>
      <w:r w:rsidRPr="00B431C0">
        <w:rPr>
          <w:rFonts w:cs="Arial"/>
        </w:rPr>
        <w:t>the most significant and headline risk</w:t>
      </w:r>
      <w:r>
        <w:rPr>
          <w:rFonts w:cs="Arial"/>
        </w:rPr>
        <w:t>s</w:t>
      </w:r>
      <w:r w:rsidRPr="00B431C0">
        <w:rPr>
          <w:rFonts w:cs="Arial"/>
        </w:rPr>
        <w:t xml:space="preserve"> </w:t>
      </w:r>
      <w:r>
        <w:rPr>
          <w:rFonts w:cs="Arial"/>
        </w:rPr>
        <w:t>in the corporate risk register are</w:t>
      </w:r>
      <w:r w:rsidRPr="00B431C0">
        <w:rPr>
          <w:rFonts w:cs="Arial"/>
        </w:rPr>
        <w:t xml:space="preserve">: -  </w:t>
      </w:r>
    </w:p>
    <w:p w14:paraId="2BDD9CEE" w14:textId="77777777" w:rsidR="00B246C1" w:rsidRPr="00B431C0" w:rsidRDefault="00B246C1" w:rsidP="00B246C1">
      <w:pPr>
        <w:jc w:val="both"/>
        <w:rPr>
          <w:rFonts w:cs="Arial"/>
        </w:rPr>
      </w:pPr>
      <w:bookmarkStart w:id="2" w:name="_Hlk52885227"/>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290"/>
        <w:gridCol w:w="1136"/>
      </w:tblGrid>
      <w:tr w:rsidR="00B246C1" w:rsidRPr="00B431C0" w14:paraId="7B3FAC58" w14:textId="77777777" w:rsidTr="00934294">
        <w:trPr>
          <w:trHeight w:val="415"/>
        </w:trPr>
        <w:tc>
          <w:tcPr>
            <w:tcW w:w="790" w:type="dxa"/>
            <w:shd w:val="clear" w:color="auto" w:fill="000000"/>
          </w:tcPr>
          <w:p w14:paraId="6FDA2FD9" w14:textId="77777777" w:rsidR="00B246C1" w:rsidRPr="00B431C0" w:rsidRDefault="00B246C1" w:rsidP="00656050">
            <w:pPr>
              <w:ind w:left="567" w:hanging="567"/>
              <w:jc w:val="center"/>
              <w:rPr>
                <w:b/>
                <w:szCs w:val="24"/>
              </w:rPr>
            </w:pPr>
            <w:r w:rsidRPr="00B431C0">
              <w:rPr>
                <w:b/>
                <w:szCs w:val="24"/>
              </w:rPr>
              <w:t>RISK</w:t>
            </w:r>
          </w:p>
          <w:p w14:paraId="206A8C6C" w14:textId="77777777" w:rsidR="00B246C1" w:rsidRPr="00B431C0" w:rsidRDefault="00B246C1" w:rsidP="00656050">
            <w:pPr>
              <w:ind w:left="567" w:hanging="567"/>
              <w:jc w:val="center"/>
              <w:rPr>
                <w:b/>
                <w:szCs w:val="24"/>
              </w:rPr>
            </w:pPr>
            <w:r w:rsidRPr="00B431C0">
              <w:rPr>
                <w:b/>
                <w:szCs w:val="24"/>
              </w:rPr>
              <w:t>NO.</w:t>
            </w:r>
          </w:p>
        </w:tc>
        <w:tc>
          <w:tcPr>
            <w:tcW w:w="7290" w:type="dxa"/>
            <w:shd w:val="clear" w:color="auto" w:fill="000000"/>
            <w:vAlign w:val="center"/>
          </w:tcPr>
          <w:p w14:paraId="3299D6FD" w14:textId="77777777" w:rsidR="00B246C1" w:rsidRPr="00B431C0" w:rsidRDefault="00B246C1" w:rsidP="00656050">
            <w:pPr>
              <w:ind w:left="567" w:hanging="567"/>
              <w:rPr>
                <w:b/>
                <w:szCs w:val="24"/>
              </w:rPr>
            </w:pPr>
            <w:r w:rsidRPr="00B431C0">
              <w:rPr>
                <w:b/>
                <w:szCs w:val="24"/>
              </w:rPr>
              <w:t xml:space="preserve">RISK </w:t>
            </w:r>
          </w:p>
        </w:tc>
        <w:tc>
          <w:tcPr>
            <w:tcW w:w="1136" w:type="dxa"/>
            <w:shd w:val="clear" w:color="auto" w:fill="000000"/>
          </w:tcPr>
          <w:p w14:paraId="52D973E3" w14:textId="77777777" w:rsidR="00B246C1" w:rsidRPr="00B431C0" w:rsidRDefault="00B246C1" w:rsidP="00656050">
            <w:pPr>
              <w:jc w:val="center"/>
              <w:rPr>
                <w:rFonts w:cs="Arial"/>
                <w:b/>
              </w:rPr>
            </w:pPr>
            <w:r w:rsidRPr="00B431C0">
              <w:rPr>
                <w:rFonts w:cs="Arial"/>
                <w:b/>
              </w:rPr>
              <w:t>RISK RATING</w:t>
            </w:r>
          </w:p>
        </w:tc>
      </w:tr>
      <w:tr w:rsidR="00B246C1" w:rsidRPr="00B431C0" w14:paraId="6A9BBA36" w14:textId="77777777" w:rsidTr="00934294">
        <w:trPr>
          <w:trHeight w:val="692"/>
        </w:trPr>
        <w:tc>
          <w:tcPr>
            <w:tcW w:w="790" w:type="dxa"/>
            <w:shd w:val="clear" w:color="auto" w:fill="auto"/>
            <w:vAlign w:val="center"/>
          </w:tcPr>
          <w:p w14:paraId="54C3A6DA" w14:textId="51251B6F" w:rsidR="00B246C1" w:rsidRPr="009E09BE" w:rsidRDefault="00B246C1" w:rsidP="00656050">
            <w:pPr>
              <w:ind w:left="-26" w:firstLine="60"/>
              <w:jc w:val="center"/>
              <w:rPr>
                <w:rFonts w:cs="Arial"/>
                <w:b/>
                <w:szCs w:val="24"/>
              </w:rPr>
            </w:pPr>
            <w:r w:rsidRPr="009E09BE">
              <w:rPr>
                <w:rFonts w:cs="Arial"/>
                <w:b/>
                <w:szCs w:val="24"/>
              </w:rPr>
              <w:t>1.</w:t>
            </w:r>
          </w:p>
        </w:tc>
        <w:tc>
          <w:tcPr>
            <w:tcW w:w="7290" w:type="dxa"/>
            <w:shd w:val="clear" w:color="auto" w:fill="auto"/>
            <w:vAlign w:val="center"/>
          </w:tcPr>
          <w:p w14:paraId="70E4CED6" w14:textId="77777777" w:rsidR="00B246C1" w:rsidRPr="00390CC9" w:rsidRDefault="00B246C1" w:rsidP="00656050">
            <w:pPr>
              <w:rPr>
                <w:rFonts w:cs="Arial"/>
                <w:bCs/>
                <w:szCs w:val="24"/>
              </w:rPr>
            </w:pPr>
            <w:r w:rsidRPr="00390CC9">
              <w:rPr>
                <w:rFonts w:cs="Arial"/>
                <w:b/>
                <w:szCs w:val="24"/>
              </w:rPr>
              <w:t>The Adult Social Care budget is overspent</w:t>
            </w:r>
          </w:p>
        </w:tc>
        <w:tc>
          <w:tcPr>
            <w:tcW w:w="1136" w:type="dxa"/>
            <w:shd w:val="clear" w:color="auto" w:fill="FF0000"/>
            <w:vAlign w:val="center"/>
          </w:tcPr>
          <w:p w14:paraId="14DFD930" w14:textId="77777777" w:rsidR="00B246C1" w:rsidRPr="00417512" w:rsidRDefault="00B246C1" w:rsidP="00656050">
            <w:pPr>
              <w:jc w:val="center"/>
              <w:rPr>
                <w:rFonts w:cs="Arial"/>
                <w:b/>
                <w:szCs w:val="24"/>
              </w:rPr>
            </w:pPr>
            <w:r>
              <w:rPr>
                <w:rFonts w:cs="Arial"/>
                <w:b/>
                <w:szCs w:val="24"/>
              </w:rPr>
              <w:t>B2</w:t>
            </w:r>
          </w:p>
        </w:tc>
      </w:tr>
      <w:tr w:rsidR="00B246C1" w:rsidRPr="00B431C0" w14:paraId="0E0A7A17" w14:textId="77777777" w:rsidTr="00934294">
        <w:trPr>
          <w:trHeight w:val="571"/>
        </w:trPr>
        <w:tc>
          <w:tcPr>
            <w:tcW w:w="790" w:type="dxa"/>
            <w:shd w:val="clear" w:color="auto" w:fill="auto"/>
            <w:vAlign w:val="center"/>
          </w:tcPr>
          <w:p w14:paraId="73439729" w14:textId="1764835C" w:rsidR="00B246C1" w:rsidRPr="009E09BE" w:rsidRDefault="00B246C1" w:rsidP="00656050">
            <w:pPr>
              <w:ind w:left="-26" w:firstLine="60"/>
              <w:jc w:val="center"/>
              <w:rPr>
                <w:rFonts w:cs="Arial"/>
                <w:b/>
                <w:szCs w:val="24"/>
              </w:rPr>
            </w:pPr>
            <w:r w:rsidRPr="009E09BE">
              <w:rPr>
                <w:rFonts w:cs="Arial"/>
                <w:b/>
                <w:szCs w:val="24"/>
              </w:rPr>
              <w:t>2.</w:t>
            </w:r>
          </w:p>
        </w:tc>
        <w:tc>
          <w:tcPr>
            <w:tcW w:w="7290" w:type="dxa"/>
            <w:shd w:val="clear" w:color="auto" w:fill="auto"/>
            <w:vAlign w:val="center"/>
          </w:tcPr>
          <w:p w14:paraId="030AEF2B" w14:textId="77777777" w:rsidR="00B246C1" w:rsidRPr="00390CC9" w:rsidRDefault="00B246C1" w:rsidP="00656050">
            <w:pPr>
              <w:rPr>
                <w:rFonts w:cs="Arial"/>
                <w:bCs/>
                <w:szCs w:val="24"/>
              </w:rPr>
            </w:pPr>
            <w:r w:rsidRPr="00390CC9">
              <w:rPr>
                <w:rFonts w:cs="Arial"/>
                <w:b/>
                <w:szCs w:val="24"/>
              </w:rPr>
              <w:t xml:space="preserve">Failure to deliver the Council-led Regeneration Programme through the Harrow Strategic Development Partnership (HSDP) </w:t>
            </w:r>
          </w:p>
        </w:tc>
        <w:tc>
          <w:tcPr>
            <w:tcW w:w="1136" w:type="dxa"/>
            <w:shd w:val="clear" w:color="auto" w:fill="FF0000"/>
            <w:vAlign w:val="center"/>
          </w:tcPr>
          <w:p w14:paraId="5585EE0E" w14:textId="77777777" w:rsidR="00B246C1" w:rsidRDefault="00B246C1" w:rsidP="00656050">
            <w:pPr>
              <w:jc w:val="center"/>
              <w:rPr>
                <w:rFonts w:cs="Arial"/>
                <w:b/>
                <w:szCs w:val="24"/>
              </w:rPr>
            </w:pPr>
            <w:r>
              <w:rPr>
                <w:rFonts w:cs="Arial"/>
                <w:b/>
                <w:szCs w:val="24"/>
              </w:rPr>
              <w:t>C2</w:t>
            </w:r>
          </w:p>
        </w:tc>
      </w:tr>
      <w:tr w:rsidR="00B246C1" w:rsidRPr="00B431C0" w14:paraId="759028EF" w14:textId="77777777" w:rsidTr="00934294">
        <w:trPr>
          <w:trHeight w:val="709"/>
        </w:trPr>
        <w:tc>
          <w:tcPr>
            <w:tcW w:w="790" w:type="dxa"/>
            <w:shd w:val="clear" w:color="auto" w:fill="auto"/>
            <w:vAlign w:val="center"/>
          </w:tcPr>
          <w:p w14:paraId="42FA7728" w14:textId="352B09F2" w:rsidR="00B246C1" w:rsidRPr="009E09BE" w:rsidRDefault="00B246C1" w:rsidP="00656050">
            <w:pPr>
              <w:ind w:left="-26" w:firstLine="60"/>
              <w:jc w:val="center"/>
              <w:rPr>
                <w:rFonts w:cs="Arial"/>
                <w:b/>
                <w:szCs w:val="24"/>
              </w:rPr>
            </w:pPr>
            <w:r w:rsidRPr="009E09BE">
              <w:rPr>
                <w:rFonts w:cs="Arial"/>
                <w:b/>
                <w:szCs w:val="24"/>
              </w:rPr>
              <w:t>3.</w:t>
            </w:r>
          </w:p>
        </w:tc>
        <w:tc>
          <w:tcPr>
            <w:tcW w:w="7290" w:type="dxa"/>
            <w:shd w:val="clear" w:color="auto" w:fill="auto"/>
            <w:vAlign w:val="center"/>
          </w:tcPr>
          <w:p w14:paraId="1DBA1938" w14:textId="77777777" w:rsidR="00B246C1" w:rsidRPr="00390CC9" w:rsidRDefault="00B246C1" w:rsidP="00656050">
            <w:pPr>
              <w:pStyle w:val="NoSpacing"/>
              <w:rPr>
                <w:rFonts w:ascii="Arial" w:hAnsi="Arial" w:cs="Arial"/>
                <w:bCs/>
                <w:color w:val="FF0000"/>
                <w:sz w:val="24"/>
                <w:szCs w:val="24"/>
              </w:rPr>
            </w:pPr>
            <w:r w:rsidRPr="00390CC9">
              <w:rPr>
                <w:rFonts w:ascii="Arial" w:hAnsi="Arial" w:cs="Arial"/>
                <w:b/>
                <w:bCs/>
                <w:sz w:val="24"/>
                <w:szCs w:val="24"/>
                <w:lang w:eastAsia="en-GB"/>
              </w:rPr>
              <w:t>Housing do not deliver on health and safety statutory duties and regulatory requirements</w:t>
            </w:r>
          </w:p>
        </w:tc>
        <w:tc>
          <w:tcPr>
            <w:tcW w:w="1136" w:type="dxa"/>
            <w:shd w:val="clear" w:color="auto" w:fill="FF0000"/>
            <w:vAlign w:val="center"/>
          </w:tcPr>
          <w:p w14:paraId="07662B1A" w14:textId="77777777" w:rsidR="00B246C1" w:rsidRDefault="00B246C1" w:rsidP="00656050">
            <w:pPr>
              <w:jc w:val="center"/>
              <w:rPr>
                <w:rFonts w:cs="Arial"/>
                <w:b/>
                <w:szCs w:val="24"/>
              </w:rPr>
            </w:pPr>
            <w:r>
              <w:rPr>
                <w:rFonts w:cs="Arial"/>
                <w:b/>
                <w:szCs w:val="24"/>
              </w:rPr>
              <w:t>C2</w:t>
            </w:r>
          </w:p>
        </w:tc>
      </w:tr>
    </w:tbl>
    <w:p w14:paraId="1909AEC7" w14:textId="77777777" w:rsidR="00B246C1" w:rsidRDefault="00B246C1" w:rsidP="00B246C1">
      <w:pPr>
        <w:jc w:val="both"/>
        <w:rPr>
          <w:rFonts w:cs="Arial"/>
          <w:bCs/>
          <w:szCs w:val="24"/>
        </w:rPr>
      </w:pPr>
    </w:p>
    <w:p w14:paraId="2382CFDA" w14:textId="02D80B1E" w:rsidR="00B246C1" w:rsidRDefault="00B246C1" w:rsidP="00B246C1">
      <w:pPr>
        <w:ind w:left="426" w:hanging="567"/>
        <w:jc w:val="both"/>
        <w:rPr>
          <w:bCs/>
          <w:szCs w:val="24"/>
        </w:rPr>
      </w:pPr>
      <w:r>
        <w:rPr>
          <w:rFonts w:cs="Arial"/>
          <w:bCs/>
          <w:szCs w:val="24"/>
        </w:rPr>
        <w:t xml:space="preserve">2.7   </w:t>
      </w:r>
      <w:r w:rsidRPr="00D76899">
        <w:rPr>
          <w:rFonts w:cs="Arial"/>
          <w:bCs/>
          <w:szCs w:val="24"/>
        </w:rPr>
        <w:t xml:space="preserve">Risk </w:t>
      </w:r>
      <w:r>
        <w:rPr>
          <w:rFonts w:cs="Arial"/>
          <w:bCs/>
          <w:szCs w:val="24"/>
        </w:rPr>
        <w:t>1</w:t>
      </w:r>
      <w:r w:rsidRPr="00D76899">
        <w:rPr>
          <w:rFonts w:cs="Arial"/>
          <w:bCs/>
          <w:szCs w:val="24"/>
        </w:rPr>
        <w:t xml:space="preserve"> above - </w:t>
      </w:r>
      <w:r w:rsidRPr="00D76899">
        <w:rPr>
          <w:rFonts w:cs="Arial"/>
          <w:b/>
          <w:szCs w:val="24"/>
        </w:rPr>
        <w:t xml:space="preserve">The Adult Social Care budget is overspent </w:t>
      </w:r>
      <w:r w:rsidRPr="00D76899">
        <w:rPr>
          <w:rFonts w:cs="Arial"/>
          <w:bCs/>
          <w:szCs w:val="24"/>
        </w:rPr>
        <w:t xml:space="preserve">– is rated RED B2 (High Likelihood – Critical Impact) </w:t>
      </w:r>
      <w:r w:rsidRPr="00D76899">
        <w:rPr>
          <w:rFonts w:cs="Arial"/>
          <w:szCs w:val="24"/>
        </w:rPr>
        <w:t xml:space="preserve">due to the increased demand from hospital and community settings now being experienced by the People Directorate and this also creates follow-on and knock on pressures for </w:t>
      </w:r>
      <w:proofErr w:type="gramStart"/>
      <w:r w:rsidRPr="00D76899">
        <w:rPr>
          <w:rFonts w:cs="Arial"/>
          <w:szCs w:val="24"/>
        </w:rPr>
        <w:t>services</w:t>
      </w:r>
      <w:proofErr w:type="gramEnd"/>
    </w:p>
    <w:p w14:paraId="6C6CA394" w14:textId="77777777" w:rsidR="00B246C1" w:rsidRDefault="00B246C1" w:rsidP="00B246C1">
      <w:pPr>
        <w:ind w:left="426" w:hanging="567"/>
        <w:jc w:val="both"/>
        <w:rPr>
          <w:bCs/>
          <w:szCs w:val="24"/>
        </w:rPr>
      </w:pPr>
    </w:p>
    <w:p w14:paraId="4C4F1C3D" w14:textId="1333C2A3" w:rsidR="00EC5800" w:rsidRPr="00EA3B9F" w:rsidRDefault="00B246C1" w:rsidP="00EC5800">
      <w:pPr>
        <w:ind w:left="426" w:hanging="710"/>
        <w:jc w:val="both"/>
        <w:rPr>
          <w:bCs/>
          <w:szCs w:val="24"/>
        </w:rPr>
      </w:pPr>
      <w:r>
        <w:rPr>
          <w:bCs/>
          <w:szCs w:val="24"/>
        </w:rPr>
        <w:t xml:space="preserve"> 2.8</w:t>
      </w:r>
      <w:r>
        <w:rPr>
          <w:bCs/>
          <w:szCs w:val="24"/>
        </w:rPr>
        <w:tab/>
      </w:r>
      <w:r w:rsidRPr="00EA3B9F">
        <w:rPr>
          <w:rFonts w:cs="Arial"/>
          <w:bCs/>
          <w:szCs w:val="24"/>
        </w:rPr>
        <w:t xml:space="preserve">Risk 2 above - </w:t>
      </w:r>
      <w:r w:rsidRPr="00EA3B9F">
        <w:rPr>
          <w:rFonts w:cs="Arial"/>
          <w:b/>
          <w:szCs w:val="24"/>
        </w:rPr>
        <w:t xml:space="preserve">Failure to deliver the Council-led Regeneration Programme through the Harrow Strategic Development Partnership (HSDP) </w:t>
      </w:r>
      <w:r w:rsidRPr="00EA3B9F">
        <w:rPr>
          <w:rFonts w:cs="Arial"/>
          <w:bCs/>
          <w:szCs w:val="24"/>
        </w:rPr>
        <w:t>– is rated RED C2 (Medium Likelihood – Critical Impact) in Q3</w:t>
      </w:r>
      <w:r w:rsidR="0033032F" w:rsidRPr="00EA3B9F">
        <w:rPr>
          <w:rFonts w:cs="Arial"/>
          <w:bCs/>
          <w:szCs w:val="24"/>
        </w:rPr>
        <w:t xml:space="preserve"> and </w:t>
      </w:r>
      <w:r w:rsidR="0033032F" w:rsidRPr="00EA3B9F">
        <w:rPr>
          <w:rFonts w:cs="Arial"/>
          <w:szCs w:val="24"/>
        </w:rPr>
        <w:t xml:space="preserve">this risk </w:t>
      </w:r>
      <w:r w:rsidR="00CD0D39" w:rsidRPr="00EA3B9F">
        <w:rPr>
          <w:rFonts w:cs="Arial"/>
          <w:szCs w:val="24"/>
        </w:rPr>
        <w:t>is likely to</w:t>
      </w:r>
      <w:r w:rsidR="00EA3B9F" w:rsidRPr="00EA3B9F">
        <w:rPr>
          <w:rFonts w:cs="Arial"/>
          <w:szCs w:val="24"/>
        </w:rPr>
        <w:t xml:space="preserve"> </w:t>
      </w:r>
      <w:r w:rsidR="00EC5800" w:rsidRPr="00EA3B9F">
        <w:rPr>
          <w:rFonts w:cs="Arial"/>
          <w:szCs w:val="24"/>
        </w:rPr>
        <w:t xml:space="preserve">remain at </w:t>
      </w:r>
      <w:r w:rsidR="00EA3B9F">
        <w:rPr>
          <w:rFonts w:cs="Arial"/>
          <w:szCs w:val="24"/>
        </w:rPr>
        <w:t xml:space="preserve">a </w:t>
      </w:r>
      <w:r w:rsidR="00EC5800" w:rsidRPr="00EA3B9F">
        <w:rPr>
          <w:rFonts w:cs="Arial"/>
          <w:szCs w:val="24"/>
        </w:rPr>
        <w:t xml:space="preserve">C2 level until the business and Phase business plans are signed off.  </w:t>
      </w:r>
    </w:p>
    <w:p w14:paraId="26BB8AD9" w14:textId="77777777" w:rsidR="00EA3B9F" w:rsidRPr="00EA3B9F" w:rsidRDefault="00EA3B9F" w:rsidP="00B246C1">
      <w:pPr>
        <w:ind w:left="426" w:hanging="568"/>
        <w:jc w:val="both"/>
        <w:rPr>
          <w:szCs w:val="24"/>
        </w:rPr>
      </w:pPr>
    </w:p>
    <w:p w14:paraId="7D203ED3" w14:textId="77777777" w:rsidR="00B246C1" w:rsidRDefault="00B246C1" w:rsidP="00B246C1">
      <w:pPr>
        <w:ind w:left="426" w:hanging="568"/>
        <w:jc w:val="both"/>
        <w:rPr>
          <w:szCs w:val="24"/>
        </w:rPr>
      </w:pPr>
    </w:p>
    <w:p w14:paraId="7B20344A" w14:textId="1DC72D44" w:rsidR="00B246C1" w:rsidRPr="000F53D8" w:rsidRDefault="00B246C1" w:rsidP="00B246C1">
      <w:pPr>
        <w:ind w:left="426" w:hanging="568"/>
        <w:jc w:val="both"/>
        <w:rPr>
          <w:rFonts w:cs="Arial"/>
          <w:bCs/>
          <w:szCs w:val="24"/>
        </w:rPr>
      </w:pPr>
      <w:r w:rsidRPr="00FD219D">
        <w:rPr>
          <w:szCs w:val="24"/>
        </w:rPr>
        <w:lastRenderedPageBreak/>
        <w:t>2.</w:t>
      </w:r>
      <w:r>
        <w:rPr>
          <w:szCs w:val="24"/>
        </w:rPr>
        <w:t>9</w:t>
      </w:r>
      <w:r>
        <w:rPr>
          <w:szCs w:val="24"/>
        </w:rPr>
        <w:tab/>
      </w:r>
      <w:r w:rsidRPr="000F53D8">
        <w:rPr>
          <w:rFonts w:cs="Arial"/>
          <w:szCs w:val="24"/>
        </w:rPr>
        <w:t xml:space="preserve">In relation to Risk </w:t>
      </w:r>
      <w:r w:rsidR="001F6E4F" w:rsidRPr="000F53D8">
        <w:rPr>
          <w:rFonts w:cs="Arial"/>
          <w:szCs w:val="24"/>
        </w:rPr>
        <w:t>3</w:t>
      </w:r>
      <w:r w:rsidRPr="000F53D8">
        <w:rPr>
          <w:rFonts w:cs="Arial"/>
          <w:szCs w:val="24"/>
        </w:rPr>
        <w:t xml:space="preserve"> above - </w:t>
      </w:r>
      <w:r w:rsidRPr="000F53D8">
        <w:rPr>
          <w:rFonts w:cs="Arial"/>
          <w:b/>
          <w:bCs/>
          <w:szCs w:val="24"/>
          <w:lang w:eastAsia="en-GB"/>
        </w:rPr>
        <w:t xml:space="preserve">Housing do not deliver on health and safety statutory duties and regulatory requirements </w:t>
      </w:r>
      <w:proofErr w:type="gramStart"/>
      <w:r w:rsidRPr="000F53D8">
        <w:rPr>
          <w:rFonts w:cs="Arial"/>
          <w:b/>
          <w:bCs/>
          <w:szCs w:val="24"/>
          <w:lang w:eastAsia="en-GB"/>
        </w:rPr>
        <w:t xml:space="preserve">- </w:t>
      </w:r>
      <w:r w:rsidRPr="000F53D8">
        <w:rPr>
          <w:rFonts w:cs="Arial"/>
          <w:szCs w:val="24"/>
          <w:lang w:eastAsia="en-GB"/>
        </w:rPr>
        <w:t xml:space="preserve"> this</w:t>
      </w:r>
      <w:proofErr w:type="gramEnd"/>
      <w:r w:rsidRPr="000F53D8">
        <w:rPr>
          <w:rFonts w:cs="Arial"/>
          <w:szCs w:val="24"/>
          <w:lang w:eastAsia="en-GB"/>
        </w:rPr>
        <w:t xml:space="preserve"> risk is rated RED C2 </w:t>
      </w:r>
      <w:r w:rsidRPr="000F53D8">
        <w:rPr>
          <w:rFonts w:cs="Arial"/>
          <w:bCs/>
          <w:szCs w:val="24"/>
        </w:rPr>
        <w:t xml:space="preserve">(Medium Likelihood – Critical Impact) </w:t>
      </w:r>
      <w:r w:rsidR="000F53D8" w:rsidRPr="000F53D8">
        <w:rPr>
          <w:rFonts w:cs="Arial"/>
          <w:bCs/>
          <w:szCs w:val="24"/>
        </w:rPr>
        <w:t xml:space="preserve">and is likely </w:t>
      </w:r>
      <w:r w:rsidR="000F53D8" w:rsidRPr="000F53D8">
        <w:rPr>
          <w:rFonts w:cs="Arial"/>
          <w:szCs w:val="24"/>
        </w:rPr>
        <w:t xml:space="preserve">remain at this level including </w:t>
      </w:r>
      <w:r w:rsidR="00DE057B">
        <w:rPr>
          <w:rFonts w:cs="Arial"/>
          <w:szCs w:val="24"/>
        </w:rPr>
        <w:t xml:space="preserve">consideration of </w:t>
      </w:r>
      <w:r w:rsidR="000F53D8" w:rsidRPr="000F53D8">
        <w:rPr>
          <w:rFonts w:cs="Arial"/>
          <w:szCs w:val="24"/>
        </w:rPr>
        <w:t>the further actions being taken in relation to the risk due to the significant number of electrical tests still required to be undertaken</w:t>
      </w:r>
      <w:r w:rsidR="000F53D8">
        <w:rPr>
          <w:rFonts w:cs="Arial"/>
          <w:szCs w:val="24"/>
        </w:rPr>
        <w:t>.</w:t>
      </w:r>
    </w:p>
    <w:p w14:paraId="4F448FA1" w14:textId="77777777" w:rsidR="00B246C1" w:rsidRPr="00152A10" w:rsidRDefault="00B246C1" w:rsidP="00B246C1">
      <w:pPr>
        <w:jc w:val="both"/>
        <w:rPr>
          <w:b/>
          <w:bCs/>
          <w:szCs w:val="24"/>
        </w:rPr>
      </w:pPr>
    </w:p>
    <w:p w14:paraId="1446FC8A" w14:textId="77777777" w:rsidR="00B246C1" w:rsidRPr="00AA2EB7" w:rsidRDefault="00B246C1" w:rsidP="0068062D">
      <w:pPr>
        <w:ind w:firstLine="426"/>
        <w:jc w:val="both"/>
        <w:rPr>
          <w:sz w:val="26"/>
          <w:szCs w:val="26"/>
        </w:rPr>
      </w:pPr>
      <w:r w:rsidRPr="00AA2EB7">
        <w:rPr>
          <w:b/>
          <w:bCs/>
          <w:sz w:val="26"/>
          <w:szCs w:val="26"/>
        </w:rPr>
        <w:t xml:space="preserve">Quarter </w:t>
      </w:r>
      <w:r>
        <w:rPr>
          <w:b/>
          <w:bCs/>
          <w:sz w:val="26"/>
          <w:szCs w:val="26"/>
        </w:rPr>
        <w:t>3</w:t>
      </w:r>
      <w:r w:rsidRPr="00AA2EB7">
        <w:rPr>
          <w:b/>
          <w:bCs/>
          <w:sz w:val="26"/>
          <w:szCs w:val="26"/>
        </w:rPr>
        <w:t xml:space="preserve"> New Risks         </w:t>
      </w:r>
    </w:p>
    <w:p w14:paraId="025306F0" w14:textId="77777777" w:rsidR="00B246C1" w:rsidRPr="00AA2EB7" w:rsidRDefault="00B246C1" w:rsidP="00B246C1">
      <w:pPr>
        <w:jc w:val="both"/>
        <w:rPr>
          <w:sz w:val="26"/>
          <w:szCs w:val="26"/>
        </w:rPr>
      </w:pPr>
    </w:p>
    <w:p w14:paraId="463DDFA2" w14:textId="7C89672A" w:rsidR="00B246C1" w:rsidRDefault="00B246C1" w:rsidP="00B246C1">
      <w:pPr>
        <w:ind w:left="567" w:hanging="851"/>
        <w:jc w:val="both"/>
        <w:rPr>
          <w:szCs w:val="24"/>
        </w:rPr>
      </w:pPr>
      <w:r>
        <w:rPr>
          <w:szCs w:val="24"/>
        </w:rPr>
        <w:t xml:space="preserve">  </w:t>
      </w:r>
      <w:r w:rsidRPr="002C09B2">
        <w:rPr>
          <w:szCs w:val="24"/>
        </w:rPr>
        <w:t>2.1</w:t>
      </w:r>
      <w:bookmarkStart w:id="3" w:name="_Hlk113876651"/>
      <w:r w:rsidR="009E09BE">
        <w:rPr>
          <w:szCs w:val="24"/>
        </w:rPr>
        <w:t>0</w:t>
      </w:r>
      <w:r>
        <w:rPr>
          <w:szCs w:val="24"/>
        </w:rPr>
        <w:t xml:space="preserve"> No new risks were identified in Quarter 3</w:t>
      </w:r>
    </w:p>
    <w:p w14:paraId="4EB91767" w14:textId="77777777" w:rsidR="00B246C1" w:rsidRDefault="00B246C1" w:rsidP="00B246C1">
      <w:pPr>
        <w:ind w:left="567" w:hanging="567"/>
        <w:jc w:val="both"/>
        <w:rPr>
          <w:szCs w:val="24"/>
        </w:rPr>
      </w:pPr>
    </w:p>
    <w:p w14:paraId="2DC3BB30" w14:textId="77777777" w:rsidR="00B246C1" w:rsidRDefault="00B246C1" w:rsidP="0068062D">
      <w:pPr>
        <w:ind w:firstLine="426"/>
        <w:jc w:val="both"/>
      </w:pPr>
      <w:bookmarkStart w:id="4" w:name="_Hlk97013569"/>
      <w:bookmarkEnd w:id="3"/>
      <w:r>
        <w:rPr>
          <w:rFonts w:cs="Arial"/>
          <w:b/>
          <w:sz w:val="26"/>
          <w:szCs w:val="26"/>
        </w:rPr>
        <w:t xml:space="preserve">Emerging Risks in Quarter 3 </w:t>
      </w:r>
    </w:p>
    <w:p w14:paraId="48F0E213" w14:textId="77777777" w:rsidR="00B246C1" w:rsidRDefault="00B246C1" w:rsidP="00B246C1">
      <w:pPr>
        <w:jc w:val="both"/>
        <w:rPr>
          <w:szCs w:val="24"/>
        </w:rPr>
      </w:pPr>
    </w:p>
    <w:p w14:paraId="5C1DD13C" w14:textId="5CCE659D" w:rsidR="00B246C1" w:rsidRPr="00A620DA" w:rsidRDefault="00B246C1" w:rsidP="00B246C1">
      <w:pPr>
        <w:ind w:hanging="142"/>
        <w:jc w:val="both"/>
        <w:rPr>
          <w:rFonts w:cs="Arial"/>
          <w:color w:val="000000"/>
          <w:szCs w:val="24"/>
        </w:rPr>
      </w:pPr>
      <w:bookmarkStart w:id="5" w:name="_Hlk113876762"/>
      <w:proofErr w:type="gramStart"/>
      <w:r>
        <w:rPr>
          <w:rFonts w:cs="Arial"/>
          <w:szCs w:val="24"/>
        </w:rPr>
        <w:t>2.1</w:t>
      </w:r>
      <w:r w:rsidR="009E09BE">
        <w:rPr>
          <w:rFonts w:cs="Arial"/>
          <w:szCs w:val="24"/>
        </w:rPr>
        <w:t>1</w:t>
      </w:r>
      <w:r>
        <w:rPr>
          <w:rFonts w:cs="Arial"/>
          <w:szCs w:val="24"/>
        </w:rPr>
        <w:t xml:space="preserve">  No</w:t>
      </w:r>
      <w:proofErr w:type="gramEnd"/>
      <w:r>
        <w:rPr>
          <w:rFonts w:cs="Arial"/>
          <w:szCs w:val="24"/>
        </w:rPr>
        <w:t xml:space="preserve"> emergent risks were identified in Quarter 3. </w:t>
      </w:r>
    </w:p>
    <w:p w14:paraId="7EF0DEEF" w14:textId="77777777" w:rsidR="00B246C1" w:rsidRPr="00764A07" w:rsidRDefault="00B246C1" w:rsidP="00B246C1">
      <w:pPr>
        <w:jc w:val="both"/>
        <w:rPr>
          <w:szCs w:val="24"/>
        </w:rPr>
      </w:pPr>
      <w:r>
        <w:rPr>
          <w:szCs w:val="24"/>
        </w:rPr>
        <w:t xml:space="preserve"> </w:t>
      </w:r>
      <w:bookmarkEnd w:id="4"/>
      <w:bookmarkEnd w:id="5"/>
    </w:p>
    <w:p w14:paraId="267E41E7" w14:textId="77777777" w:rsidR="00B246C1" w:rsidRPr="002638F5" w:rsidRDefault="00B246C1" w:rsidP="0068062D">
      <w:pPr>
        <w:ind w:firstLine="426"/>
        <w:rPr>
          <w:rFonts w:cs="Arial"/>
          <w:b/>
          <w:bCs/>
          <w:sz w:val="26"/>
          <w:szCs w:val="26"/>
        </w:rPr>
      </w:pPr>
      <w:r w:rsidRPr="00AA2EB7">
        <w:rPr>
          <w:rFonts w:cs="Arial"/>
          <w:b/>
          <w:bCs/>
          <w:sz w:val="26"/>
          <w:szCs w:val="26"/>
        </w:rPr>
        <w:t xml:space="preserve">Closed Risks in Quarter </w:t>
      </w:r>
      <w:r>
        <w:rPr>
          <w:rFonts w:cs="Arial"/>
          <w:b/>
          <w:bCs/>
          <w:sz w:val="26"/>
          <w:szCs w:val="26"/>
        </w:rPr>
        <w:t>3</w:t>
      </w:r>
    </w:p>
    <w:p w14:paraId="54B3010D" w14:textId="77777777" w:rsidR="00B246C1" w:rsidRDefault="00B246C1" w:rsidP="00B246C1">
      <w:pPr>
        <w:ind w:left="567" w:hanging="567"/>
        <w:jc w:val="both"/>
        <w:rPr>
          <w:rFonts w:cs="Arial"/>
          <w:szCs w:val="24"/>
        </w:rPr>
      </w:pPr>
    </w:p>
    <w:p w14:paraId="723C2A29" w14:textId="7B3482A6" w:rsidR="00B246C1" w:rsidRPr="00764A07" w:rsidRDefault="00B246C1" w:rsidP="00B246C1">
      <w:pPr>
        <w:ind w:left="426" w:hanging="710"/>
        <w:jc w:val="both"/>
        <w:rPr>
          <w:rFonts w:cs="Arial"/>
          <w:szCs w:val="24"/>
        </w:rPr>
      </w:pPr>
      <w:r>
        <w:rPr>
          <w:rFonts w:cs="Arial"/>
          <w:szCs w:val="24"/>
        </w:rPr>
        <w:t xml:space="preserve">  2.1</w:t>
      </w:r>
      <w:r w:rsidR="009E09BE">
        <w:rPr>
          <w:rFonts w:cs="Arial"/>
          <w:szCs w:val="24"/>
        </w:rPr>
        <w:t>2</w:t>
      </w:r>
      <w:r>
        <w:rPr>
          <w:rFonts w:cs="Arial"/>
          <w:szCs w:val="24"/>
        </w:rPr>
        <w:tab/>
      </w:r>
      <w:bookmarkStart w:id="6" w:name="_Hlk113876860"/>
      <w:r w:rsidRPr="00764A07">
        <w:rPr>
          <w:rFonts w:cs="Arial"/>
          <w:szCs w:val="24"/>
        </w:rPr>
        <w:t xml:space="preserve">During Quarter 3 one risk was closed and this was - </w:t>
      </w:r>
      <w:r w:rsidRPr="00764A07">
        <w:rPr>
          <w:rFonts w:cs="Arial"/>
          <w:b/>
          <w:bCs/>
          <w:szCs w:val="24"/>
        </w:rPr>
        <w:t>There is an adverse impact on staff health and wellbein</w:t>
      </w:r>
      <w:r>
        <w:rPr>
          <w:rFonts w:cs="Arial"/>
          <w:b/>
          <w:bCs/>
          <w:szCs w:val="24"/>
        </w:rPr>
        <w:t xml:space="preserve">g. </w:t>
      </w:r>
      <w:r>
        <w:rPr>
          <w:rFonts w:cs="Arial"/>
          <w:szCs w:val="24"/>
        </w:rPr>
        <w:t xml:space="preserve">The risk </w:t>
      </w:r>
      <w:r w:rsidRPr="00764A07">
        <w:rPr>
          <w:rFonts w:cs="Arial"/>
          <w:szCs w:val="24"/>
        </w:rPr>
        <w:t xml:space="preserve">was closed </w:t>
      </w:r>
      <w:r w:rsidRPr="00764A07">
        <w:rPr>
          <w:rFonts w:cs="Arial"/>
          <w:bCs/>
          <w:szCs w:val="24"/>
        </w:rPr>
        <w:t xml:space="preserve">as it is now very much business-as-usual (BAU) at the Council and the circumstances of this </w:t>
      </w:r>
      <w:proofErr w:type="gramStart"/>
      <w:r w:rsidRPr="00764A07">
        <w:rPr>
          <w:rFonts w:cs="Arial"/>
          <w:bCs/>
          <w:szCs w:val="24"/>
        </w:rPr>
        <w:t>risk</w:t>
      </w:r>
      <w:proofErr w:type="gramEnd"/>
      <w:r w:rsidRPr="00764A07">
        <w:rPr>
          <w:rFonts w:cs="Arial"/>
          <w:bCs/>
          <w:szCs w:val="24"/>
        </w:rPr>
        <w:t xml:space="preserve"> and its context are largely legacy issues from the pandemic which have now been managed.</w:t>
      </w:r>
    </w:p>
    <w:bookmarkEnd w:id="2"/>
    <w:bookmarkEnd w:id="6"/>
    <w:p w14:paraId="3FBB14D2" w14:textId="6322321D" w:rsidR="009B1427" w:rsidRDefault="009B1427" w:rsidP="009B1427">
      <w:pPr>
        <w:spacing w:before="480"/>
        <w:outlineLvl w:val="1"/>
        <w:rPr>
          <w:rFonts w:ascii="Arial Black" w:hAnsi="Arial Black" w:cs="Arial"/>
          <w:bCs/>
          <w:sz w:val="32"/>
          <w:szCs w:val="32"/>
        </w:rPr>
      </w:pPr>
      <w:r w:rsidRPr="005E69F1">
        <w:rPr>
          <w:rFonts w:ascii="Arial Black" w:hAnsi="Arial Black" w:cs="Arial"/>
          <w:bCs/>
          <w:sz w:val="32"/>
          <w:szCs w:val="32"/>
        </w:rPr>
        <w:t>Legal Implications</w:t>
      </w:r>
    </w:p>
    <w:p w14:paraId="071A9169" w14:textId="77777777" w:rsidR="009B1427" w:rsidRPr="005E69F1" w:rsidRDefault="009B1427" w:rsidP="009B1427">
      <w:pPr>
        <w:spacing w:before="480"/>
        <w:outlineLvl w:val="1"/>
        <w:rPr>
          <w:rFonts w:cs="Arial"/>
          <w:bCs/>
          <w:szCs w:val="24"/>
        </w:rPr>
      </w:pPr>
      <w:r>
        <w:rPr>
          <w:rFonts w:cs="Arial"/>
          <w:bCs/>
          <w:szCs w:val="24"/>
        </w:rPr>
        <w:t>As covered in the main body of the report.</w:t>
      </w:r>
    </w:p>
    <w:p w14:paraId="214929CF" w14:textId="77777777" w:rsidR="009B1427" w:rsidRPr="005E69F1" w:rsidRDefault="009B1427" w:rsidP="009B1427">
      <w:pPr>
        <w:spacing w:before="480" w:after="240"/>
        <w:outlineLvl w:val="1"/>
        <w:rPr>
          <w:rFonts w:ascii="Arial Black" w:hAnsi="Arial Black" w:cs="Arial"/>
          <w:bCs/>
          <w:sz w:val="32"/>
          <w:szCs w:val="32"/>
        </w:rPr>
      </w:pPr>
      <w:r w:rsidRPr="005E69F1">
        <w:rPr>
          <w:rFonts w:ascii="Arial Black" w:hAnsi="Arial Black" w:cs="Arial"/>
          <w:bCs/>
          <w:sz w:val="32"/>
          <w:szCs w:val="32"/>
        </w:rPr>
        <w:t>Financial Implications</w:t>
      </w:r>
    </w:p>
    <w:p w14:paraId="0ED5BAAD" w14:textId="77777777" w:rsidR="009B1427" w:rsidRDefault="009B1427" w:rsidP="009B1427">
      <w:r>
        <w:t>There are no financial implications to this report.</w:t>
      </w:r>
    </w:p>
    <w:p w14:paraId="38673579" w14:textId="77777777" w:rsidR="009B1427" w:rsidRPr="005E69F1" w:rsidRDefault="009B1427" w:rsidP="009B1427">
      <w:pPr>
        <w:spacing w:before="480" w:after="240"/>
        <w:outlineLvl w:val="1"/>
        <w:rPr>
          <w:rFonts w:ascii="Arial Black" w:hAnsi="Arial Black" w:cs="Arial"/>
          <w:bCs/>
          <w:sz w:val="32"/>
          <w:szCs w:val="32"/>
        </w:rPr>
      </w:pPr>
      <w:r w:rsidRPr="005E69F1">
        <w:rPr>
          <w:rFonts w:ascii="Arial Black" w:hAnsi="Arial Black" w:cs="Arial"/>
          <w:bCs/>
          <w:sz w:val="32"/>
          <w:szCs w:val="32"/>
        </w:rPr>
        <w:t>Risk Management Implications</w:t>
      </w:r>
    </w:p>
    <w:p w14:paraId="1E126195" w14:textId="1A6E76EF" w:rsidR="0034446F" w:rsidRPr="005F094C" w:rsidRDefault="0034446F" w:rsidP="0034446F">
      <w:pPr>
        <w:jc w:val="both"/>
      </w:pPr>
      <w:r>
        <w:t>This report is for noting and for information only and the Committee are not being asked to make any decisions hence there are no direct risk management implications to this report.</w:t>
      </w:r>
    </w:p>
    <w:p w14:paraId="117CB674" w14:textId="77777777" w:rsidR="009B1427" w:rsidRDefault="009B1427" w:rsidP="009B1427">
      <w:pPr>
        <w:keepNext/>
        <w:spacing w:before="480" w:after="240"/>
        <w:outlineLvl w:val="1"/>
        <w:rPr>
          <w:rFonts w:ascii="Arial Black" w:hAnsi="Arial Black" w:cs="Arial"/>
          <w:bCs/>
          <w:sz w:val="32"/>
          <w:szCs w:val="32"/>
        </w:rPr>
      </w:pPr>
      <w:r w:rsidRPr="005E69F1">
        <w:rPr>
          <w:rFonts w:ascii="Arial Black" w:hAnsi="Arial Black" w:cs="Arial"/>
          <w:bCs/>
          <w:sz w:val="32"/>
          <w:szCs w:val="32"/>
        </w:rPr>
        <w:lastRenderedPageBreak/>
        <w:t xml:space="preserve">Equalities implications / Public Sector Equality Duty </w:t>
      </w:r>
    </w:p>
    <w:p w14:paraId="787037BC" w14:textId="09286E87" w:rsidR="009B1427" w:rsidRPr="005E69F1" w:rsidRDefault="00687ADA" w:rsidP="009B1427">
      <w:pPr>
        <w:keepNext/>
        <w:spacing w:before="480" w:after="240"/>
        <w:outlineLvl w:val="1"/>
        <w:rPr>
          <w:rFonts w:cs="Arial"/>
          <w:bCs/>
          <w:szCs w:val="24"/>
        </w:rPr>
      </w:pPr>
      <w:r>
        <w:rPr>
          <w:rFonts w:cs="Arial"/>
          <w:bCs/>
          <w:szCs w:val="24"/>
        </w:rPr>
        <w:t xml:space="preserve">N/A </w:t>
      </w:r>
    </w:p>
    <w:p w14:paraId="04171EF6" w14:textId="77777777" w:rsidR="009B1427" w:rsidRPr="005E69F1" w:rsidRDefault="009B1427" w:rsidP="009B1427">
      <w:pPr>
        <w:keepNext/>
        <w:spacing w:before="480" w:after="240"/>
        <w:outlineLvl w:val="3"/>
        <w:rPr>
          <w:rFonts w:cs="Arial"/>
          <w:b/>
          <w:sz w:val="28"/>
        </w:rPr>
      </w:pPr>
      <w:r w:rsidRPr="005E69F1">
        <w:rPr>
          <w:rFonts w:cs="Arial"/>
          <w:b/>
          <w:sz w:val="28"/>
        </w:rPr>
        <w:t>Council Priorities</w:t>
      </w:r>
    </w:p>
    <w:p w14:paraId="060B79FE" w14:textId="77777777" w:rsidR="009B1427" w:rsidRPr="005E69F1" w:rsidRDefault="009B1427" w:rsidP="00C8485C">
      <w:pPr>
        <w:jc w:val="both"/>
        <w:rPr>
          <w:rFonts w:cs="Arial"/>
          <w:szCs w:val="24"/>
          <w:lang w:val="en-US"/>
        </w:rPr>
      </w:pPr>
      <w:r>
        <w:rPr>
          <w:rFonts w:cs="Arial"/>
          <w:szCs w:val="24"/>
          <w:lang w:val="en-US"/>
        </w:rPr>
        <w:t>This report is for information only.  The risks included in the attached corporate risk register are those considered to pose a threat to meeting the Council’s priorities. The risk management process is designed to identify, mitigate, monitor these risks to protect as far as is possible the risk materializing.</w:t>
      </w:r>
    </w:p>
    <w:p w14:paraId="0153C8B7" w14:textId="77777777" w:rsidR="009B1427" w:rsidRPr="005E69F1" w:rsidRDefault="009B1427" w:rsidP="009B1427">
      <w:pPr>
        <w:rPr>
          <w:rFonts w:cs="Arial"/>
          <w:szCs w:val="24"/>
          <w:lang w:val="en-US"/>
        </w:rPr>
      </w:pPr>
    </w:p>
    <w:p w14:paraId="0647B3E1" w14:textId="0BA4BDD9" w:rsidR="009B1427" w:rsidRPr="005E69F1" w:rsidRDefault="009B1427" w:rsidP="009B1427">
      <w:pPr>
        <w:numPr>
          <w:ilvl w:val="0"/>
          <w:numId w:val="16"/>
        </w:numPr>
        <w:rPr>
          <w:rFonts w:eastAsia="Calibri" w:cs="Arial"/>
          <w:b/>
          <w:bCs/>
          <w:color w:val="000000"/>
          <w:szCs w:val="22"/>
        </w:rPr>
      </w:pPr>
      <w:r w:rsidRPr="005E69F1">
        <w:rPr>
          <w:rFonts w:eastAsia="Calibri" w:cs="Arial"/>
          <w:b/>
          <w:bCs/>
          <w:color w:val="000000"/>
          <w:szCs w:val="22"/>
          <w:lang w:eastAsia="en-GB"/>
        </w:rPr>
        <w:t xml:space="preserve">A </w:t>
      </w:r>
      <w:r w:rsidR="00C8485C">
        <w:rPr>
          <w:rFonts w:eastAsia="Calibri" w:cs="Arial"/>
          <w:b/>
          <w:bCs/>
          <w:color w:val="000000"/>
          <w:szCs w:val="22"/>
          <w:lang w:eastAsia="en-GB"/>
        </w:rPr>
        <w:t>C</w:t>
      </w:r>
      <w:r w:rsidRPr="005E69F1">
        <w:rPr>
          <w:rFonts w:eastAsia="Calibri" w:cs="Arial"/>
          <w:b/>
          <w:bCs/>
          <w:color w:val="000000"/>
          <w:szCs w:val="22"/>
          <w:lang w:eastAsia="en-GB"/>
        </w:rPr>
        <w:t xml:space="preserve">ouncil </w:t>
      </w:r>
      <w:r w:rsidR="00C8485C">
        <w:rPr>
          <w:rFonts w:eastAsia="Calibri" w:cs="Arial"/>
          <w:b/>
          <w:bCs/>
          <w:color w:val="000000"/>
          <w:szCs w:val="22"/>
          <w:lang w:eastAsia="en-GB"/>
        </w:rPr>
        <w:t>T</w:t>
      </w:r>
      <w:r w:rsidRPr="005E69F1">
        <w:rPr>
          <w:rFonts w:eastAsia="Calibri" w:cs="Arial"/>
          <w:b/>
          <w:bCs/>
          <w:color w:val="000000"/>
          <w:szCs w:val="22"/>
          <w:lang w:eastAsia="en-GB"/>
        </w:rPr>
        <w:t xml:space="preserve">hat </w:t>
      </w:r>
      <w:r w:rsidR="00C8485C">
        <w:rPr>
          <w:rFonts w:eastAsia="Calibri" w:cs="Arial"/>
          <w:b/>
          <w:bCs/>
          <w:color w:val="000000"/>
          <w:szCs w:val="22"/>
          <w:lang w:eastAsia="en-GB"/>
        </w:rPr>
        <w:t>P</w:t>
      </w:r>
      <w:r w:rsidRPr="005E69F1">
        <w:rPr>
          <w:rFonts w:eastAsia="Calibri" w:cs="Arial"/>
          <w:b/>
          <w:bCs/>
          <w:color w:val="000000"/>
          <w:szCs w:val="22"/>
          <w:lang w:eastAsia="en-GB"/>
        </w:rPr>
        <w:t xml:space="preserve">uts </w:t>
      </w:r>
      <w:r w:rsidR="00C8485C">
        <w:rPr>
          <w:rFonts w:eastAsia="Calibri" w:cs="Arial"/>
          <w:b/>
          <w:bCs/>
          <w:color w:val="000000"/>
          <w:szCs w:val="22"/>
          <w:lang w:eastAsia="en-GB"/>
        </w:rPr>
        <w:t>R</w:t>
      </w:r>
      <w:r w:rsidRPr="005E69F1">
        <w:rPr>
          <w:rFonts w:eastAsia="Calibri" w:cs="Arial"/>
          <w:b/>
          <w:bCs/>
          <w:color w:val="000000"/>
          <w:szCs w:val="22"/>
          <w:lang w:eastAsia="en-GB"/>
        </w:rPr>
        <w:t xml:space="preserve">esidents </w:t>
      </w:r>
      <w:r w:rsidR="00C8485C">
        <w:rPr>
          <w:rFonts w:eastAsia="Calibri" w:cs="Arial"/>
          <w:b/>
          <w:bCs/>
          <w:color w:val="000000"/>
          <w:szCs w:val="22"/>
          <w:lang w:eastAsia="en-GB"/>
        </w:rPr>
        <w:t>F</w:t>
      </w:r>
      <w:r w:rsidRPr="005E69F1">
        <w:rPr>
          <w:rFonts w:eastAsia="Calibri" w:cs="Arial"/>
          <w:b/>
          <w:bCs/>
          <w:color w:val="000000"/>
          <w:szCs w:val="22"/>
          <w:lang w:eastAsia="en-GB"/>
        </w:rPr>
        <w:t>irst</w:t>
      </w:r>
    </w:p>
    <w:p w14:paraId="07CC7657" w14:textId="77777777" w:rsidR="009B1427" w:rsidRPr="005E69F1" w:rsidRDefault="009B1427" w:rsidP="009B1427">
      <w:pPr>
        <w:ind w:left="720"/>
        <w:rPr>
          <w:rFonts w:eastAsia="Calibri" w:cs="Arial"/>
          <w:b/>
          <w:bCs/>
          <w:color w:val="000000"/>
          <w:szCs w:val="22"/>
        </w:rPr>
      </w:pPr>
    </w:p>
    <w:p w14:paraId="49E49E09" w14:textId="3AAC3226" w:rsidR="009B1427" w:rsidRPr="005E69F1" w:rsidRDefault="009B1427" w:rsidP="009B1427">
      <w:pPr>
        <w:numPr>
          <w:ilvl w:val="0"/>
          <w:numId w:val="16"/>
        </w:numPr>
        <w:rPr>
          <w:rFonts w:eastAsia="Calibri" w:cs="Arial"/>
          <w:b/>
          <w:bCs/>
          <w:color w:val="000000"/>
          <w:szCs w:val="22"/>
          <w:lang w:eastAsia="en-GB"/>
        </w:rPr>
      </w:pPr>
      <w:r w:rsidRPr="005E69F1">
        <w:rPr>
          <w:rFonts w:eastAsia="Calibri" w:cs="Arial"/>
          <w:b/>
          <w:bCs/>
          <w:color w:val="000000"/>
          <w:szCs w:val="22"/>
          <w:lang w:eastAsia="en-GB"/>
        </w:rPr>
        <w:t xml:space="preserve">A </w:t>
      </w:r>
      <w:r w:rsidR="00C8485C">
        <w:rPr>
          <w:rFonts w:eastAsia="Calibri" w:cs="Arial"/>
          <w:b/>
          <w:bCs/>
          <w:color w:val="000000"/>
          <w:szCs w:val="22"/>
          <w:lang w:eastAsia="en-GB"/>
        </w:rPr>
        <w:t>B</w:t>
      </w:r>
      <w:r w:rsidRPr="005E69F1">
        <w:rPr>
          <w:rFonts w:eastAsia="Calibri" w:cs="Arial"/>
          <w:b/>
          <w:bCs/>
          <w:color w:val="000000"/>
          <w:szCs w:val="22"/>
          <w:lang w:eastAsia="en-GB"/>
        </w:rPr>
        <w:t xml:space="preserve">orough </w:t>
      </w:r>
      <w:r w:rsidR="00C8485C">
        <w:rPr>
          <w:rFonts w:eastAsia="Calibri" w:cs="Arial"/>
          <w:b/>
          <w:bCs/>
          <w:color w:val="000000"/>
          <w:szCs w:val="22"/>
          <w:lang w:eastAsia="en-GB"/>
        </w:rPr>
        <w:t>T</w:t>
      </w:r>
      <w:r w:rsidRPr="005E69F1">
        <w:rPr>
          <w:rFonts w:eastAsia="Calibri" w:cs="Arial"/>
          <w:b/>
          <w:bCs/>
          <w:color w:val="000000"/>
          <w:szCs w:val="22"/>
          <w:lang w:eastAsia="en-GB"/>
        </w:rPr>
        <w:t xml:space="preserve">hat </w:t>
      </w:r>
      <w:r w:rsidR="00C8485C">
        <w:rPr>
          <w:rFonts w:eastAsia="Calibri" w:cs="Arial"/>
          <w:b/>
          <w:bCs/>
          <w:color w:val="000000"/>
          <w:szCs w:val="22"/>
          <w:lang w:eastAsia="en-GB"/>
        </w:rPr>
        <w:t>I</w:t>
      </w:r>
      <w:r w:rsidRPr="005E69F1">
        <w:rPr>
          <w:rFonts w:eastAsia="Calibri" w:cs="Arial"/>
          <w:b/>
          <w:bCs/>
          <w:color w:val="000000"/>
          <w:szCs w:val="22"/>
          <w:lang w:eastAsia="en-GB"/>
        </w:rPr>
        <w:t xml:space="preserve">s </w:t>
      </w:r>
      <w:r w:rsidR="00C8485C">
        <w:rPr>
          <w:rFonts w:eastAsia="Calibri" w:cs="Arial"/>
          <w:b/>
          <w:bCs/>
          <w:color w:val="000000"/>
          <w:szCs w:val="22"/>
          <w:lang w:eastAsia="en-GB"/>
        </w:rPr>
        <w:t>C</w:t>
      </w:r>
      <w:r w:rsidRPr="005E69F1">
        <w:rPr>
          <w:rFonts w:eastAsia="Calibri" w:cs="Arial"/>
          <w:b/>
          <w:bCs/>
          <w:color w:val="000000"/>
          <w:szCs w:val="22"/>
          <w:lang w:eastAsia="en-GB"/>
        </w:rPr>
        <w:t xml:space="preserve">lean and </w:t>
      </w:r>
      <w:r w:rsidR="00C8485C">
        <w:rPr>
          <w:rFonts w:eastAsia="Calibri" w:cs="Arial"/>
          <w:b/>
          <w:bCs/>
          <w:color w:val="000000"/>
          <w:szCs w:val="22"/>
          <w:lang w:eastAsia="en-GB"/>
        </w:rPr>
        <w:t>S</w:t>
      </w:r>
      <w:r w:rsidRPr="005E69F1">
        <w:rPr>
          <w:rFonts w:eastAsia="Calibri" w:cs="Arial"/>
          <w:b/>
          <w:bCs/>
          <w:color w:val="000000"/>
          <w:szCs w:val="22"/>
          <w:lang w:eastAsia="en-GB"/>
        </w:rPr>
        <w:t>afe</w:t>
      </w:r>
    </w:p>
    <w:p w14:paraId="628FA334" w14:textId="77777777" w:rsidR="009B1427" w:rsidRPr="005E69F1" w:rsidRDefault="009B1427" w:rsidP="009B1427">
      <w:pPr>
        <w:rPr>
          <w:rFonts w:eastAsia="Calibri" w:cs="Arial"/>
          <w:b/>
          <w:bCs/>
          <w:color w:val="000000"/>
          <w:szCs w:val="22"/>
          <w:lang w:eastAsia="en-GB"/>
        </w:rPr>
      </w:pPr>
    </w:p>
    <w:p w14:paraId="3B74EF70" w14:textId="1C28DC9C" w:rsidR="009B1427" w:rsidRPr="005E69F1" w:rsidRDefault="009B1427" w:rsidP="009B1427">
      <w:pPr>
        <w:numPr>
          <w:ilvl w:val="0"/>
          <w:numId w:val="16"/>
        </w:numPr>
        <w:rPr>
          <w:rFonts w:eastAsia="Calibri" w:cs="Arial"/>
          <w:b/>
          <w:bCs/>
          <w:color w:val="000000"/>
          <w:szCs w:val="22"/>
          <w:lang w:eastAsia="en-GB"/>
        </w:rPr>
      </w:pPr>
      <w:r w:rsidRPr="005E69F1">
        <w:rPr>
          <w:rFonts w:eastAsia="Calibri" w:cs="Arial"/>
          <w:b/>
          <w:bCs/>
          <w:color w:val="000000"/>
          <w:szCs w:val="22"/>
          <w:lang w:eastAsia="en-GB"/>
        </w:rPr>
        <w:t xml:space="preserve">A </w:t>
      </w:r>
      <w:r w:rsidR="00C8485C">
        <w:rPr>
          <w:rFonts w:eastAsia="Calibri" w:cs="Arial"/>
          <w:b/>
          <w:bCs/>
          <w:color w:val="000000"/>
          <w:szCs w:val="22"/>
          <w:lang w:eastAsia="en-GB"/>
        </w:rPr>
        <w:t>P</w:t>
      </w:r>
      <w:r w:rsidRPr="005E69F1">
        <w:rPr>
          <w:rFonts w:eastAsia="Calibri" w:cs="Arial"/>
          <w:b/>
          <w:bCs/>
          <w:color w:val="000000"/>
          <w:szCs w:val="22"/>
          <w:lang w:eastAsia="en-GB"/>
        </w:rPr>
        <w:t xml:space="preserve">lace </w:t>
      </w:r>
      <w:r w:rsidR="00C8485C">
        <w:rPr>
          <w:rFonts w:eastAsia="Calibri" w:cs="Arial"/>
          <w:b/>
          <w:bCs/>
          <w:color w:val="000000"/>
          <w:szCs w:val="22"/>
          <w:lang w:eastAsia="en-GB"/>
        </w:rPr>
        <w:t>W</w:t>
      </w:r>
      <w:r w:rsidRPr="005E69F1">
        <w:rPr>
          <w:rFonts w:eastAsia="Calibri" w:cs="Arial"/>
          <w:b/>
          <w:bCs/>
          <w:color w:val="000000"/>
          <w:szCs w:val="22"/>
          <w:lang w:eastAsia="en-GB"/>
        </w:rPr>
        <w:t xml:space="preserve">here </w:t>
      </w:r>
      <w:r w:rsidR="00C8485C">
        <w:rPr>
          <w:rFonts w:eastAsia="Calibri" w:cs="Arial"/>
          <w:b/>
          <w:bCs/>
          <w:color w:val="000000"/>
          <w:szCs w:val="22"/>
          <w:lang w:eastAsia="en-GB"/>
        </w:rPr>
        <w:t>T</w:t>
      </w:r>
      <w:r w:rsidRPr="005E69F1">
        <w:rPr>
          <w:rFonts w:eastAsia="Calibri" w:cs="Arial"/>
          <w:b/>
          <w:bCs/>
          <w:color w:val="000000"/>
          <w:szCs w:val="22"/>
          <w:lang w:eastAsia="en-GB"/>
        </w:rPr>
        <w:t xml:space="preserve">hose </w:t>
      </w:r>
      <w:proofErr w:type="gramStart"/>
      <w:r w:rsidR="00C8485C">
        <w:rPr>
          <w:rFonts w:eastAsia="Calibri" w:cs="Arial"/>
          <w:b/>
          <w:bCs/>
          <w:color w:val="000000"/>
          <w:szCs w:val="22"/>
          <w:lang w:eastAsia="en-GB"/>
        </w:rPr>
        <w:t>I</w:t>
      </w:r>
      <w:r w:rsidRPr="005E69F1">
        <w:rPr>
          <w:rFonts w:eastAsia="Calibri" w:cs="Arial"/>
          <w:b/>
          <w:bCs/>
          <w:color w:val="000000"/>
          <w:szCs w:val="22"/>
          <w:lang w:eastAsia="en-GB"/>
        </w:rPr>
        <w:t>n</w:t>
      </w:r>
      <w:proofErr w:type="gramEnd"/>
      <w:r w:rsidRPr="005E69F1">
        <w:rPr>
          <w:rFonts w:eastAsia="Calibri" w:cs="Arial"/>
          <w:b/>
          <w:bCs/>
          <w:color w:val="000000"/>
          <w:szCs w:val="22"/>
          <w:lang w:eastAsia="en-GB"/>
        </w:rPr>
        <w:t xml:space="preserve"> </w:t>
      </w:r>
      <w:r w:rsidR="00C8485C">
        <w:rPr>
          <w:rFonts w:eastAsia="Calibri" w:cs="Arial"/>
          <w:b/>
          <w:bCs/>
          <w:color w:val="000000"/>
          <w:szCs w:val="22"/>
          <w:lang w:eastAsia="en-GB"/>
        </w:rPr>
        <w:t>N</w:t>
      </w:r>
      <w:r w:rsidRPr="005E69F1">
        <w:rPr>
          <w:rFonts w:eastAsia="Calibri" w:cs="Arial"/>
          <w:b/>
          <w:bCs/>
          <w:color w:val="000000"/>
          <w:szCs w:val="22"/>
          <w:lang w:eastAsia="en-GB"/>
        </w:rPr>
        <w:t xml:space="preserve">eed </w:t>
      </w:r>
      <w:r w:rsidR="00C8485C">
        <w:rPr>
          <w:rFonts w:eastAsia="Calibri" w:cs="Arial"/>
          <w:b/>
          <w:bCs/>
          <w:color w:val="000000"/>
          <w:szCs w:val="22"/>
          <w:lang w:eastAsia="en-GB"/>
        </w:rPr>
        <w:t>A</w:t>
      </w:r>
      <w:r w:rsidRPr="005E69F1">
        <w:rPr>
          <w:rFonts w:eastAsia="Calibri" w:cs="Arial"/>
          <w:b/>
          <w:bCs/>
          <w:color w:val="000000"/>
          <w:szCs w:val="22"/>
          <w:lang w:eastAsia="en-GB"/>
        </w:rPr>
        <w:t xml:space="preserve">re </w:t>
      </w:r>
      <w:r w:rsidR="00C8485C">
        <w:rPr>
          <w:rFonts w:eastAsia="Calibri" w:cs="Arial"/>
          <w:b/>
          <w:bCs/>
          <w:color w:val="000000"/>
          <w:szCs w:val="22"/>
          <w:lang w:eastAsia="en-GB"/>
        </w:rPr>
        <w:t>S</w:t>
      </w:r>
      <w:r w:rsidRPr="005E69F1">
        <w:rPr>
          <w:rFonts w:eastAsia="Calibri" w:cs="Arial"/>
          <w:b/>
          <w:bCs/>
          <w:color w:val="000000"/>
          <w:szCs w:val="22"/>
          <w:lang w:eastAsia="en-GB"/>
        </w:rPr>
        <w:t>upported</w:t>
      </w:r>
    </w:p>
    <w:p w14:paraId="10126499" w14:textId="77777777" w:rsidR="009B1427" w:rsidRDefault="009B1427" w:rsidP="009B1427">
      <w:pPr>
        <w:pStyle w:val="Heading1"/>
        <w:keepNext/>
      </w:pPr>
    </w:p>
    <w:p w14:paraId="21F594EE" w14:textId="77777777" w:rsidR="00687ADA" w:rsidRDefault="00687ADA" w:rsidP="009B1427">
      <w:pPr>
        <w:pStyle w:val="Heading1"/>
        <w:keepNext/>
      </w:pPr>
    </w:p>
    <w:p w14:paraId="2CA9EAF2" w14:textId="20F778D5" w:rsidR="009B1427" w:rsidRDefault="009B1427" w:rsidP="009B1427">
      <w:pPr>
        <w:pStyle w:val="Heading1"/>
        <w:keepNext/>
      </w:pPr>
      <w:r>
        <w:t>Section 3 - Statutory Officer Clearance</w:t>
      </w:r>
    </w:p>
    <w:p w14:paraId="70F15208" w14:textId="77777777" w:rsidR="00FD7522" w:rsidRPr="00DF07A7" w:rsidRDefault="00FD7522" w:rsidP="00FD7522">
      <w:pPr>
        <w:keepNext/>
        <w:rPr>
          <w:rFonts w:cs="Arial"/>
        </w:rPr>
      </w:pPr>
      <w:r w:rsidRPr="095C8546">
        <w:rPr>
          <w:rFonts w:cs="Arial"/>
        </w:rPr>
        <w:t xml:space="preserve">As this is </w:t>
      </w:r>
      <w:bookmarkStart w:id="7" w:name="_Int_1svHvqY0"/>
      <w:r w:rsidRPr="095C8546">
        <w:rPr>
          <w:rFonts w:cs="Arial"/>
        </w:rPr>
        <w:t>an information report Legal / Finance / Corporate Director clearances</w:t>
      </w:r>
      <w:bookmarkEnd w:id="7"/>
      <w:r w:rsidRPr="095C8546">
        <w:rPr>
          <w:rFonts w:cs="Arial"/>
        </w:rPr>
        <w:t xml:space="preserve"> are not necessary.</w:t>
      </w:r>
    </w:p>
    <w:p w14:paraId="0DA70395" w14:textId="77777777" w:rsidR="009B1427" w:rsidRDefault="009B1427" w:rsidP="009B1427"/>
    <w:p w14:paraId="5ACD19E4" w14:textId="77777777" w:rsidR="009B1427" w:rsidRDefault="009B1427" w:rsidP="009B1427">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1"/>
        <w:gridCol w:w="3632"/>
      </w:tblGrid>
      <w:tr w:rsidR="009B1427" w14:paraId="4F83A98D" w14:textId="77777777" w:rsidTr="00141744">
        <w:trPr>
          <w:trHeight w:val="965"/>
        </w:trPr>
        <w:tc>
          <w:tcPr>
            <w:tcW w:w="2974" w:type="pct"/>
            <w:tcBorders>
              <w:right w:val="nil"/>
            </w:tcBorders>
          </w:tcPr>
          <w:p w14:paraId="0967157A" w14:textId="77777777" w:rsidR="009B1427" w:rsidRDefault="009B1427" w:rsidP="00141744">
            <w:pPr>
              <w:pStyle w:val="Infotext"/>
              <w:rPr>
                <w:rFonts w:ascii="Arial Black" w:hAnsi="Arial Black"/>
              </w:rPr>
            </w:pPr>
          </w:p>
          <w:p w14:paraId="52AF8E09" w14:textId="77777777" w:rsidR="009B1427" w:rsidRDefault="009B1427" w:rsidP="00141744">
            <w:pPr>
              <w:pStyle w:val="Infotext"/>
            </w:pPr>
            <w:r>
              <w:rPr>
                <w:rFonts w:ascii="Arial Black" w:hAnsi="Arial Black"/>
              </w:rPr>
              <w:t>Ward Councillors notified:</w:t>
            </w:r>
          </w:p>
        </w:tc>
        <w:tc>
          <w:tcPr>
            <w:tcW w:w="2026" w:type="pct"/>
            <w:tcBorders>
              <w:left w:val="nil"/>
            </w:tcBorders>
          </w:tcPr>
          <w:p w14:paraId="33E8C942" w14:textId="77777777" w:rsidR="009B1427" w:rsidRDefault="009B1427" w:rsidP="00141744">
            <w:pPr>
              <w:pStyle w:val="Infotext"/>
            </w:pPr>
          </w:p>
          <w:p w14:paraId="047DC897" w14:textId="77777777" w:rsidR="009B1427" w:rsidRPr="00A406F3" w:rsidRDefault="009B1427" w:rsidP="00141744">
            <w:pPr>
              <w:pStyle w:val="Infotext"/>
              <w:spacing w:before="120"/>
              <w:rPr>
                <w:b/>
              </w:rPr>
            </w:pPr>
            <w:r w:rsidRPr="00A406F3">
              <w:rPr>
                <w:b/>
              </w:rPr>
              <w:t>NO</w:t>
            </w:r>
            <w:r>
              <w:rPr>
                <w:b/>
              </w:rPr>
              <w:t xml:space="preserve">, as it impacts all </w:t>
            </w:r>
            <w:proofErr w:type="gramStart"/>
            <w:r>
              <w:rPr>
                <w:b/>
              </w:rPr>
              <w:t>wards</w:t>
            </w:r>
            <w:proofErr w:type="gramEnd"/>
          </w:p>
          <w:p w14:paraId="6884F3A3" w14:textId="77777777" w:rsidR="009B1427" w:rsidRPr="003D78F6" w:rsidRDefault="009B1427" w:rsidP="00141744">
            <w:pPr>
              <w:pStyle w:val="Infotext"/>
              <w:rPr>
                <w:i/>
                <w:sz w:val="24"/>
                <w:szCs w:val="24"/>
              </w:rPr>
            </w:pPr>
          </w:p>
        </w:tc>
      </w:tr>
    </w:tbl>
    <w:p w14:paraId="090C714D" w14:textId="77777777" w:rsidR="009B1427" w:rsidRDefault="009B1427" w:rsidP="009B1427"/>
    <w:p w14:paraId="3D6339BD" w14:textId="595B5E9D" w:rsidR="009B1427" w:rsidRDefault="009B1427" w:rsidP="009B1427">
      <w:pPr>
        <w:pStyle w:val="Heading1"/>
        <w:keepNext/>
      </w:pPr>
      <w:r>
        <w:t xml:space="preserve">Section 4 - Contact Details and </w:t>
      </w:r>
      <w:r w:rsidR="00FD7522">
        <w:t>B</w:t>
      </w:r>
      <w:r>
        <w:t>ackground Papers</w:t>
      </w:r>
    </w:p>
    <w:p w14:paraId="22AAEC4A" w14:textId="77777777" w:rsidR="009B1427" w:rsidRDefault="009B1427" w:rsidP="009B1427">
      <w:pPr>
        <w:keepNext/>
        <w:rPr>
          <w:rFonts w:cs="Arial"/>
        </w:rPr>
      </w:pPr>
    </w:p>
    <w:p w14:paraId="1237AA8D" w14:textId="030BF065" w:rsidR="009B1427" w:rsidRDefault="009B1427" w:rsidP="009B1427">
      <w:pPr>
        <w:pStyle w:val="Infotext"/>
        <w:ind w:right="-622"/>
        <w:rPr>
          <w:sz w:val="24"/>
          <w:szCs w:val="24"/>
        </w:rPr>
      </w:pPr>
      <w:r w:rsidRPr="00D914D2">
        <w:rPr>
          <w:b/>
        </w:rPr>
        <w:t>Contact:</w:t>
      </w:r>
      <w:r>
        <w:t xml:space="preserve"> </w:t>
      </w:r>
      <w:r>
        <w:rPr>
          <w:sz w:val="24"/>
          <w:szCs w:val="24"/>
        </w:rPr>
        <w:t>Tracy B</w:t>
      </w:r>
      <w:r w:rsidR="00FD7522">
        <w:rPr>
          <w:sz w:val="24"/>
          <w:szCs w:val="24"/>
        </w:rPr>
        <w:t>a</w:t>
      </w:r>
      <w:r>
        <w:rPr>
          <w:sz w:val="24"/>
          <w:szCs w:val="24"/>
        </w:rPr>
        <w:t>rnett</w:t>
      </w:r>
      <w:r w:rsidRPr="00836592">
        <w:rPr>
          <w:sz w:val="24"/>
          <w:szCs w:val="24"/>
        </w:rPr>
        <w:t xml:space="preserve">, </w:t>
      </w:r>
      <w:r>
        <w:rPr>
          <w:sz w:val="24"/>
          <w:szCs w:val="24"/>
        </w:rPr>
        <w:t xml:space="preserve">Interim </w:t>
      </w:r>
      <w:r w:rsidRPr="00836592">
        <w:rPr>
          <w:sz w:val="24"/>
          <w:szCs w:val="24"/>
        </w:rPr>
        <w:t xml:space="preserve">Head of Internal Audit and </w:t>
      </w:r>
      <w:r>
        <w:rPr>
          <w:sz w:val="24"/>
          <w:szCs w:val="24"/>
        </w:rPr>
        <w:t>C</w:t>
      </w:r>
      <w:r w:rsidRPr="00836592">
        <w:rPr>
          <w:sz w:val="24"/>
          <w:szCs w:val="24"/>
        </w:rPr>
        <w:t>o</w:t>
      </w:r>
      <w:r>
        <w:rPr>
          <w:sz w:val="24"/>
          <w:szCs w:val="24"/>
        </w:rPr>
        <w:t>r</w:t>
      </w:r>
      <w:r w:rsidRPr="00836592">
        <w:rPr>
          <w:sz w:val="24"/>
          <w:szCs w:val="24"/>
        </w:rPr>
        <w:t>porate Anti-Fraud</w:t>
      </w:r>
    </w:p>
    <w:p w14:paraId="47992646" w14:textId="1C2B7733" w:rsidR="00110C2F" w:rsidRDefault="00E25BE4" w:rsidP="009B1427">
      <w:pPr>
        <w:pStyle w:val="Infotext"/>
        <w:rPr>
          <w:sz w:val="24"/>
          <w:szCs w:val="24"/>
        </w:rPr>
      </w:pPr>
      <w:r>
        <w:rPr>
          <w:sz w:val="24"/>
          <w:szCs w:val="24"/>
        </w:rPr>
        <w:t xml:space="preserve">                   </w:t>
      </w:r>
      <w:r w:rsidR="009B1427">
        <w:rPr>
          <w:sz w:val="24"/>
          <w:szCs w:val="24"/>
        </w:rPr>
        <w:t xml:space="preserve">Neale Burns, </w:t>
      </w:r>
      <w:r w:rsidR="007A7822">
        <w:rPr>
          <w:sz w:val="24"/>
          <w:szCs w:val="24"/>
        </w:rPr>
        <w:t xml:space="preserve">Interim </w:t>
      </w:r>
      <w:r w:rsidR="009B1427">
        <w:rPr>
          <w:sz w:val="24"/>
          <w:szCs w:val="24"/>
        </w:rPr>
        <w:t xml:space="preserve">Risk Manager </w:t>
      </w:r>
    </w:p>
    <w:p w14:paraId="382E014E" w14:textId="77777777" w:rsidR="00681E3A" w:rsidRDefault="00681E3A" w:rsidP="009B1427">
      <w:pPr>
        <w:pStyle w:val="Infotext"/>
        <w:rPr>
          <w:sz w:val="24"/>
          <w:szCs w:val="24"/>
        </w:rPr>
      </w:pPr>
    </w:p>
    <w:p w14:paraId="7C96AAA0" w14:textId="5F256203" w:rsidR="009B1427" w:rsidRPr="007B534B" w:rsidRDefault="009B1427" w:rsidP="009B1427">
      <w:pPr>
        <w:pStyle w:val="Infotext"/>
        <w:rPr>
          <w:sz w:val="24"/>
          <w:szCs w:val="24"/>
        </w:rPr>
      </w:pPr>
      <w:r w:rsidRPr="009F62B9">
        <w:rPr>
          <w:b/>
          <w:szCs w:val="28"/>
        </w:rPr>
        <w:t>Background Papers</w:t>
      </w:r>
      <w:r w:rsidRPr="009F62B9">
        <w:rPr>
          <w:szCs w:val="28"/>
        </w:rPr>
        <w:t xml:space="preserve">: </w:t>
      </w:r>
      <w:r>
        <w:rPr>
          <w:rFonts w:cs="Arial"/>
          <w:szCs w:val="24"/>
        </w:rPr>
        <w:t xml:space="preserve">None </w:t>
      </w:r>
    </w:p>
    <w:p w14:paraId="0CCD6C29" w14:textId="77777777" w:rsidR="009B1427" w:rsidRPr="009B1427" w:rsidRDefault="009B1427">
      <w:pPr>
        <w:rPr>
          <w:b/>
          <w:bCs/>
          <w:sz w:val="28"/>
        </w:rPr>
      </w:pPr>
    </w:p>
    <w:sectPr w:rsidR="009B1427" w:rsidRPr="009B1427" w:rsidSect="00FD7522">
      <w:type w:val="continuous"/>
      <w:pgSz w:w="11909" w:h="16834" w:code="9"/>
      <w:pgMar w:top="1008" w:right="1136"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2BDF" w14:textId="77777777" w:rsidR="00F20841" w:rsidRDefault="00F20841">
      <w:r>
        <w:separator/>
      </w:r>
    </w:p>
  </w:endnote>
  <w:endnote w:type="continuationSeparator" w:id="0">
    <w:p w14:paraId="2C9C7BAF" w14:textId="77777777" w:rsidR="00F20841" w:rsidRDefault="00F20841">
      <w:r>
        <w:continuationSeparator/>
      </w:r>
    </w:p>
  </w:endnote>
  <w:endnote w:type="continuationNotice" w:id="1">
    <w:p w14:paraId="7B64C6DA" w14:textId="77777777" w:rsidR="00082BAE" w:rsidRDefault="00082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AA69" w14:textId="77777777" w:rsidR="00F20841" w:rsidRDefault="00F20841">
      <w:r>
        <w:separator/>
      </w:r>
    </w:p>
  </w:footnote>
  <w:footnote w:type="continuationSeparator" w:id="0">
    <w:p w14:paraId="7E44367B" w14:textId="77777777" w:rsidR="00F20841" w:rsidRDefault="00F20841">
      <w:r>
        <w:continuationSeparator/>
      </w:r>
    </w:p>
  </w:footnote>
  <w:footnote w:type="continuationNotice" w:id="1">
    <w:p w14:paraId="29D6175D" w14:textId="77777777" w:rsidR="00082BAE" w:rsidRDefault="00082B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51"/>
    <w:multiLevelType w:val="multilevel"/>
    <w:tmpl w:val="1D5A5C14"/>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83FE2"/>
    <w:multiLevelType w:val="hybridMultilevel"/>
    <w:tmpl w:val="052E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F32B2"/>
    <w:multiLevelType w:val="hybridMultilevel"/>
    <w:tmpl w:val="CBE0F448"/>
    <w:lvl w:ilvl="0" w:tplc="08090001">
      <w:start w:val="1"/>
      <w:numFmt w:val="bullet"/>
      <w:lvlText w:val=""/>
      <w:lvlJc w:val="left"/>
      <w:pPr>
        <w:tabs>
          <w:tab w:val="num" w:pos="709"/>
        </w:tabs>
        <w:ind w:left="709" w:hanging="709"/>
      </w:pPr>
      <w:rPr>
        <w:rFonts w:ascii="Symbol" w:hAnsi="Symbol" w:hint="default"/>
        <w:color w:val="auto"/>
        <w:sz w:val="16"/>
        <w:szCs w:val="16"/>
      </w:rPr>
    </w:lvl>
    <w:lvl w:ilvl="1" w:tplc="04090001">
      <w:start w:val="1"/>
      <w:numFmt w:val="bullet"/>
      <w:lvlText w:val=""/>
      <w:lvlJc w:val="left"/>
      <w:pPr>
        <w:tabs>
          <w:tab w:val="num" w:pos="731"/>
        </w:tabs>
        <w:ind w:left="731" w:hanging="360"/>
      </w:pPr>
      <w:rPr>
        <w:rFonts w:ascii="Symbol" w:hAnsi="Symbol" w:hint="default"/>
        <w:sz w:val="16"/>
        <w:szCs w:val="16"/>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cs="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cs="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5"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27906"/>
    <w:multiLevelType w:val="hybridMultilevel"/>
    <w:tmpl w:val="548289E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301A0"/>
    <w:multiLevelType w:val="hybridMultilevel"/>
    <w:tmpl w:val="21CA955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 w15:restartNumberingAfterBreak="0">
    <w:nsid w:val="24CA1908"/>
    <w:multiLevelType w:val="multilevel"/>
    <w:tmpl w:val="D8FCB962"/>
    <w:lvl w:ilvl="0">
      <w:start w:val="1"/>
      <w:numFmt w:val="bullet"/>
      <w:lvlText w:val="-"/>
      <w:lvlJc w:val="left"/>
      <w:pPr>
        <w:tabs>
          <w:tab w:val="num" w:pos="-31680"/>
        </w:tabs>
        <w:ind w:left="720" w:hanging="72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757AF"/>
    <w:multiLevelType w:val="hybridMultilevel"/>
    <w:tmpl w:val="2C0ADB1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732E5"/>
    <w:multiLevelType w:val="multilevel"/>
    <w:tmpl w:val="FBD0F6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735C49"/>
    <w:multiLevelType w:val="hybridMultilevel"/>
    <w:tmpl w:val="3CB0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B68F4"/>
    <w:multiLevelType w:val="hybridMultilevel"/>
    <w:tmpl w:val="71508E4C"/>
    <w:lvl w:ilvl="0" w:tplc="08090001">
      <w:start w:val="1"/>
      <w:numFmt w:val="bullet"/>
      <w:lvlText w:val=""/>
      <w:lvlJc w:val="left"/>
      <w:pPr>
        <w:ind w:left="1049" w:hanging="360"/>
      </w:pPr>
      <w:rPr>
        <w:rFonts w:ascii="Symbol" w:hAnsi="Symbo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8" w15:restartNumberingAfterBreak="0">
    <w:nsid w:val="41521F1D"/>
    <w:multiLevelType w:val="hybridMultilevel"/>
    <w:tmpl w:val="9FCCD728"/>
    <w:lvl w:ilvl="0" w:tplc="08090001">
      <w:start w:val="1"/>
      <w:numFmt w:val="bullet"/>
      <w:lvlText w:val=""/>
      <w:lvlJc w:val="left"/>
      <w:pPr>
        <w:ind w:left="3327" w:hanging="360"/>
      </w:pPr>
      <w:rPr>
        <w:rFonts w:ascii="Symbol" w:hAnsi="Symbol" w:hint="default"/>
      </w:rPr>
    </w:lvl>
    <w:lvl w:ilvl="1" w:tplc="08090003" w:tentative="1">
      <w:start w:val="1"/>
      <w:numFmt w:val="bullet"/>
      <w:lvlText w:val="o"/>
      <w:lvlJc w:val="left"/>
      <w:pPr>
        <w:ind w:left="4047" w:hanging="360"/>
      </w:pPr>
      <w:rPr>
        <w:rFonts w:ascii="Courier New" w:hAnsi="Courier New" w:cs="Courier New" w:hint="default"/>
      </w:rPr>
    </w:lvl>
    <w:lvl w:ilvl="2" w:tplc="08090005" w:tentative="1">
      <w:start w:val="1"/>
      <w:numFmt w:val="bullet"/>
      <w:lvlText w:val=""/>
      <w:lvlJc w:val="left"/>
      <w:pPr>
        <w:ind w:left="4767" w:hanging="360"/>
      </w:pPr>
      <w:rPr>
        <w:rFonts w:ascii="Wingdings" w:hAnsi="Wingdings" w:hint="default"/>
      </w:rPr>
    </w:lvl>
    <w:lvl w:ilvl="3" w:tplc="08090001" w:tentative="1">
      <w:start w:val="1"/>
      <w:numFmt w:val="bullet"/>
      <w:lvlText w:val=""/>
      <w:lvlJc w:val="left"/>
      <w:pPr>
        <w:ind w:left="5487" w:hanging="360"/>
      </w:pPr>
      <w:rPr>
        <w:rFonts w:ascii="Symbol" w:hAnsi="Symbol" w:hint="default"/>
      </w:rPr>
    </w:lvl>
    <w:lvl w:ilvl="4" w:tplc="08090003" w:tentative="1">
      <w:start w:val="1"/>
      <w:numFmt w:val="bullet"/>
      <w:lvlText w:val="o"/>
      <w:lvlJc w:val="left"/>
      <w:pPr>
        <w:ind w:left="6207" w:hanging="360"/>
      </w:pPr>
      <w:rPr>
        <w:rFonts w:ascii="Courier New" w:hAnsi="Courier New" w:cs="Courier New" w:hint="default"/>
      </w:rPr>
    </w:lvl>
    <w:lvl w:ilvl="5" w:tplc="08090005" w:tentative="1">
      <w:start w:val="1"/>
      <w:numFmt w:val="bullet"/>
      <w:lvlText w:val=""/>
      <w:lvlJc w:val="left"/>
      <w:pPr>
        <w:ind w:left="6927" w:hanging="360"/>
      </w:pPr>
      <w:rPr>
        <w:rFonts w:ascii="Wingdings" w:hAnsi="Wingdings" w:hint="default"/>
      </w:rPr>
    </w:lvl>
    <w:lvl w:ilvl="6" w:tplc="08090001" w:tentative="1">
      <w:start w:val="1"/>
      <w:numFmt w:val="bullet"/>
      <w:lvlText w:val=""/>
      <w:lvlJc w:val="left"/>
      <w:pPr>
        <w:ind w:left="7647" w:hanging="360"/>
      </w:pPr>
      <w:rPr>
        <w:rFonts w:ascii="Symbol" w:hAnsi="Symbol" w:hint="default"/>
      </w:rPr>
    </w:lvl>
    <w:lvl w:ilvl="7" w:tplc="08090003" w:tentative="1">
      <w:start w:val="1"/>
      <w:numFmt w:val="bullet"/>
      <w:lvlText w:val="o"/>
      <w:lvlJc w:val="left"/>
      <w:pPr>
        <w:ind w:left="8367" w:hanging="360"/>
      </w:pPr>
      <w:rPr>
        <w:rFonts w:ascii="Courier New" w:hAnsi="Courier New" w:cs="Courier New" w:hint="default"/>
      </w:rPr>
    </w:lvl>
    <w:lvl w:ilvl="8" w:tplc="08090005" w:tentative="1">
      <w:start w:val="1"/>
      <w:numFmt w:val="bullet"/>
      <w:lvlText w:val=""/>
      <w:lvlJc w:val="left"/>
      <w:pPr>
        <w:ind w:left="9087" w:hanging="360"/>
      </w:pPr>
      <w:rPr>
        <w:rFonts w:ascii="Wingdings" w:hAnsi="Wingdings" w:hint="default"/>
      </w:rPr>
    </w:lvl>
  </w:abstractNum>
  <w:abstractNum w:abstractNumId="19" w15:restartNumberingAfterBreak="0">
    <w:nsid w:val="421D118F"/>
    <w:multiLevelType w:val="hybridMultilevel"/>
    <w:tmpl w:val="93E66CD4"/>
    <w:lvl w:ilvl="0" w:tplc="2358396E">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82620DB"/>
    <w:multiLevelType w:val="hybridMultilevel"/>
    <w:tmpl w:val="55A65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10B83"/>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164A98"/>
    <w:multiLevelType w:val="hybridMultilevel"/>
    <w:tmpl w:val="D8FCB962"/>
    <w:lvl w:ilvl="0" w:tplc="06124EBA">
      <w:start w:val="1"/>
      <w:numFmt w:val="bullet"/>
      <w:lvlText w:val="-"/>
      <w:lvlJc w:val="left"/>
      <w:pPr>
        <w:tabs>
          <w:tab w:val="num" w:pos="-31680"/>
        </w:tabs>
        <w:ind w:left="720" w:hanging="72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650F2C"/>
    <w:multiLevelType w:val="hybridMultilevel"/>
    <w:tmpl w:val="6C56C1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5C90560C"/>
    <w:multiLevelType w:val="hybridMultilevel"/>
    <w:tmpl w:val="84D6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63FEF"/>
    <w:multiLevelType w:val="hybridMultilevel"/>
    <w:tmpl w:val="0C60FB74"/>
    <w:lvl w:ilvl="0" w:tplc="08090001">
      <w:start w:val="1"/>
      <w:numFmt w:val="bullet"/>
      <w:lvlText w:val=""/>
      <w:lvlJc w:val="left"/>
      <w:pPr>
        <w:ind w:left="2607" w:hanging="360"/>
      </w:pPr>
      <w:rPr>
        <w:rFonts w:ascii="Symbol" w:hAnsi="Symbol" w:hint="default"/>
      </w:rPr>
    </w:lvl>
    <w:lvl w:ilvl="1" w:tplc="08090003" w:tentative="1">
      <w:start w:val="1"/>
      <w:numFmt w:val="bullet"/>
      <w:lvlText w:val="o"/>
      <w:lvlJc w:val="left"/>
      <w:pPr>
        <w:ind w:left="3327" w:hanging="360"/>
      </w:pPr>
      <w:rPr>
        <w:rFonts w:ascii="Courier New" w:hAnsi="Courier New" w:cs="Courier New" w:hint="default"/>
      </w:rPr>
    </w:lvl>
    <w:lvl w:ilvl="2" w:tplc="08090005" w:tentative="1">
      <w:start w:val="1"/>
      <w:numFmt w:val="bullet"/>
      <w:lvlText w:val=""/>
      <w:lvlJc w:val="left"/>
      <w:pPr>
        <w:ind w:left="4047" w:hanging="360"/>
      </w:pPr>
      <w:rPr>
        <w:rFonts w:ascii="Wingdings" w:hAnsi="Wingdings" w:hint="default"/>
      </w:rPr>
    </w:lvl>
    <w:lvl w:ilvl="3" w:tplc="08090001" w:tentative="1">
      <w:start w:val="1"/>
      <w:numFmt w:val="bullet"/>
      <w:lvlText w:val=""/>
      <w:lvlJc w:val="left"/>
      <w:pPr>
        <w:ind w:left="4767" w:hanging="360"/>
      </w:pPr>
      <w:rPr>
        <w:rFonts w:ascii="Symbol" w:hAnsi="Symbol" w:hint="default"/>
      </w:rPr>
    </w:lvl>
    <w:lvl w:ilvl="4" w:tplc="08090003" w:tentative="1">
      <w:start w:val="1"/>
      <w:numFmt w:val="bullet"/>
      <w:lvlText w:val="o"/>
      <w:lvlJc w:val="left"/>
      <w:pPr>
        <w:ind w:left="5487" w:hanging="360"/>
      </w:pPr>
      <w:rPr>
        <w:rFonts w:ascii="Courier New" w:hAnsi="Courier New" w:cs="Courier New" w:hint="default"/>
      </w:rPr>
    </w:lvl>
    <w:lvl w:ilvl="5" w:tplc="08090005" w:tentative="1">
      <w:start w:val="1"/>
      <w:numFmt w:val="bullet"/>
      <w:lvlText w:val=""/>
      <w:lvlJc w:val="left"/>
      <w:pPr>
        <w:ind w:left="6207" w:hanging="360"/>
      </w:pPr>
      <w:rPr>
        <w:rFonts w:ascii="Wingdings" w:hAnsi="Wingdings" w:hint="default"/>
      </w:rPr>
    </w:lvl>
    <w:lvl w:ilvl="6" w:tplc="08090001" w:tentative="1">
      <w:start w:val="1"/>
      <w:numFmt w:val="bullet"/>
      <w:lvlText w:val=""/>
      <w:lvlJc w:val="left"/>
      <w:pPr>
        <w:ind w:left="6927" w:hanging="360"/>
      </w:pPr>
      <w:rPr>
        <w:rFonts w:ascii="Symbol" w:hAnsi="Symbol" w:hint="default"/>
      </w:rPr>
    </w:lvl>
    <w:lvl w:ilvl="7" w:tplc="08090003" w:tentative="1">
      <w:start w:val="1"/>
      <w:numFmt w:val="bullet"/>
      <w:lvlText w:val="o"/>
      <w:lvlJc w:val="left"/>
      <w:pPr>
        <w:ind w:left="7647" w:hanging="360"/>
      </w:pPr>
      <w:rPr>
        <w:rFonts w:ascii="Courier New" w:hAnsi="Courier New" w:cs="Courier New" w:hint="default"/>
      </w:rPr>
    </w:lvl>
    <w:lvl w:ilvl="8" w:tplc="08090005" w:tentative="1">
      <w:start w:val="1"/>
      <w:numFmt w:val="bullet"/>
      <w:lvlText w:val=""/>
      <w:lvlJc w:val="left"/>
      <w:pPr>
        <w:ind w:left="8367" w:hanging="360"/>
      </w:pPr>
      <w:rPr>
        <w:rFonts w:ascii="Wingdings" w:hAnsi="Wingdings" w:hint="default"/>
      </w:rPr>
    </w:lvl>
  </w:abstractNum>
  <w:abstractNum w:abstractNumId="31" w15:restartNumberingAfterBreak="0">
    <w:nsid w:val="651F203D"/>
    <w:multiLevelType w:val="hybridMultilevel"/>
    <w:tmpl w:val="F8A8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D120C"/>
    <w:multiLevelType w:val="hybridMultilevel"/>
    <w:tmpl w:val="2034B6E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2F2236"/>
    <w:multiLevelType w:val="hybridMultilevel"/>
    <w:tmpl w:val="13E0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B27DE"/>
    <w:multiLevelType w:val="hybridMultilevel"/>
    <w:tmpl w:val="35EE4FB4"/>
    <w:lvl w:ilvl="0" w:tplc="9BBE6FD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74194"/>
    <w:multiLevelType w:val="hybridMultilevel"/>
    <w:tmpl w:val="E91445AC"/>
    <w:lvl w:ilvl="0" w:tplc="11C89E9A">
      <w:start w:val="1"/>
      <w:numFmt w:val="bullet"/>
      <w:lvlText w:val=""/>
      <w:lvlJc w:val="left"/>
      <w:pPr>
        <w:ind w:left="895" w:hanging="360"/>
      </w:pPr>
      <w:rPr>
        <w:rFonts w:ascii="Symbol" w:hAnsi="Symbol" w:hint="default"/>
        <w:color w:val="auto"/>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8" w15:restartNumberingAfterBreak="0">
    <w:nsid w:val="73E60946"/>
    <w:multiLevelType w:val="hybridMultilevel"/>
    <w:tmpl w:val="8938D50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294459">
    <w:abstractNumId w:val="34"/>
  </w:num>
  <w:num w:numId="2" w16cid:durableId="281421632">
    <w:abstractNumId w:val="23"/>
  </w:num>
  <w:num w:numId="3" w16cid:durableId="819076666">
    <w:abstractNumId w:val="32"/>
  </w:num>
  <w:num w:numId="4" w16cid:durableId="563222970">
    <w:abstractNumId w:val="2"/>
  </w:num>
  <w:num w:numId="5" w16cid:durableId="597199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2285272">
    <w:abstractNumId w:val="14"/>
  </w:num>
  <w:num w:numId="7" w16cid:durableId="1876624691">
    <w:abstractNumId w:val="17"/>
  </w:num>
  <w:num w:numId="8" w16cid:durableId="540630687">
    <w:abstractNumId w:val="8"/>
  </w:num>
  <w:num w:numId="9" w16cid:durableId="830095860">
    <w:abstractNumId w:val="7"/>
  </w:num>
  <w:num w:numId="10" w16cid:durableId="1661034764">
    <w:abstractNumId w:val="29"/>
  </w:num>
  <w:num w:numId="11" w16cid:durableId="1590187774">
    <w:abstractNumId w:val="39"/>
  </w:num>
  <w:num w:numId="12" w16cid:durableId="2056153764">
    <w:abstractNumId w:val="25"/>
  </w:num>
  <w:num w:numId="13" w16cid:durableId="2137479983">
    <w:abstractNumId w:val="5"/>
  </w:num>
  <w:num w:numId="14" w16cid:durableId="723915313">
    <w:abstractNumId w:val="12"/>
  </w:num>
  <w:num w:numId="15" w16cid:durableId="1230113628">
    <w:abstractNumId w:val="21"/>
  </w:num>
  <w:num w:numId="16" w16cid:durableId="825586076">
    <w:abstractNumId w:val="20"/>
  </w:num>
  <w:num w:numId="17" w16cid:durableId="1239247922">
    <w:abstractNumId w:val="24"/>
  </w:num>
  <w:num w:numId="18" w16cid:durableId="2001618290">
    <w:abstractNumId w:val="19"/>
  </w:num>
  <w:num w:numId="19" w16cid:durableId="10433657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7355692">
    <w:abstractNumId w:val="26"/>
  </w:num>
  <w:num w:numId="21" w16cid:durableId="903295818">
    <w:abstractNumId w:val="10"/>
  </w:num>
  <w:num w:numId="22" w16cid:durableId="1361277086">
    <w:abstractNumId w:val="36"/>
  </w:num>
  <w:num w:numId="23" w16cid:durableId="1056079110">
    <w:abstractNumId w:val="13"/>
  </w:num>
  <w:num w:numId="24" w16cid:durableId="676343811">
    <w:abstractNumId w:val="1"/>
  </w:num>
  <w:num w:numId="25" w16cid:durableId="792214715">
    <w:abstractNumId w:val="3"/>
  </w:num>
  <w:num w:numId="26" w16cid:durableId="599877344">
    <w:abstractNumId w:val="22"/>
  </w:num>
  <w:num w:numId="27" w16cid:durableId="1929926607">
    <w:abstractNumId w:val="0"/>
  </w:num>
  <w:num w:numId="28" w16cid:durableId="1529446053">
    <w:abstractNumId w:val="33"/>
  </w:num>
  <w:num w:numId="29" w16cid:durableId="1135611034">
    <w:abstractNumId w:val="4"/>
  </w:num>
  <w:num w:numId="30" w16cid:durableId="542864594">
    <w:abstractNumId w:val="35"/>
  </w:num>
  <w:num w:numId="31" w16cid:durableId="1555001449">
    <w:abstractNumId w:val="31"/>
  </w:num>
  <w:num w:numId="32" w16cid:durableId="1293636681">
    <w:abstractNumId w:val="28"/>
  </w:num>
  <w:num w:numId="33" w16cid:durableId="738408983">
    <w:abstractNumId w:val="15"/>
  </w:num>
  <w:num w:numId="34" w16cid:durableId="918564249">
    <w:abstractNumId w:val="16"/>
  </w:num>
  <w:num w:numId="35" w16cid:durableId="27460095">
    <w:abstractNumId w:val="9"/>
  </w:num>
  <w:num w:numId="36" w16cid:durableId="1340309383">
    <w:abstractNumId w:val="11"/>
  </w:num>
  <w:num w:numId="37" w16cid:durableId="1025399592">
    <w:abstractNumId w:val="38"/>
  </w:num>
  <w:num w:numId="38" w16cid:durableId="1351106351">
    <w:abstractNumId w:val="6"/>
  </w:num>
  <w:num w:numId="39" w16cid:durableId="604504986">
    <w:abstractNumId w:val="37"/>
  </w:num>
  <w:num w:numId="40" w16cid:durableId="1379237678">
    <w:abstractNumId w:val="30"/>
  </w:num>
  <w:num w:numId="41" w16cid:durableId="1829976871">
    <w:abstractNumId w:val="18"/>
  </w:num>
  <w:num w:numId="42" w16cid:durableId="20174213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277AA"/>
    <w:rsid w:val="00057F10"/>
    <w:rsid w:val="000633A2"/>
    <w:rsid w:val="00071EB4"/>
    <w:rsid w:val="00077298"/>
    <w:rsid w:val="00082BAE"/>
    <w:rsid w:val="00095D69"/>
    <w:rsid w:val="000A58A1"/>
    <w:rsid w:val="000A6659"/>
    <w:rsid w:val="000B0E6F"/>
    <w:rsid w:val="000B6DBB"/>
    <w:rsid w:val="000C61C6"/>
    <w:rsid w:val="000D2BF2"/>
    <w:rsid w:val="000D5870"/>
    <w:rsid w:val="000E0D94"/>
    <w:rsid w:val="000F53D8"/>
    <w:rsid w:val="000F55FE"/>
    <w:rsid w:val="000F65C0"/>
    <w:rsid w:val="00110C2F"/>
    <w:rsid w:val="00116920"/>
    <w:rsid w:val="00121ECE"/>
    <w:rsid w:val="00133121"/>
    <w:rsid w:val="001745CF"/>
    <w:rsid w:val="001939BA"/>
    <w:rsid w:val="001A6EB0"/>
    <w:rsid w:val="001B441D"/>
    <w:rsid w:val="001C5225"/>
    <w:rsid w:val="001D50A2"/>
    <w:rsid w:val="001E0219"/>
    <w:rsid w:val="001F6E4F"/>
    <w:rsid w:val="00213BE7"/>
    <w:rsid w:val="00231A1D"/>
    <w:rsid w:val="00244120"/>
    <w:rsid w:val="002458A1"/>
    <w:rsid w:val="002632C9"/>
    <w:rsid w:val="00277521"/>
    <w:rsid w:val="00281131"/>
    <w:rsid w:val="00284E23"/>
    <w:rsid w:val="00293F9F"/>
    <w:rsid w:val="002A2389"/>
    <w:rsid w:val="002B333E"/>
    <w:rsid w:val="002C08E2"/>
    <w:rsid w:val="002C1794"/>
    <w:rsid w:val="002C18D4"/>
    <w:rsid w:val="002D2CA5"/>
    <w:rsid w:val="002D2FC5"/>
    <w:rsid w:val="002E6637"/>
    <w:rsid w:val="002E77E3"/>
    <w:rsid w:val="002F70B5"/>
    <w:rsid w:val="0030027E"/>
    <w:rsid w:val="0032309C"/>
    <w:rsid w:val="0033032F"/>
    <w:rsid w:val="00332947"/>
    <w:rsid w:val="00333EB4"/>
    <w:rsid w:val="0034446F"/>
    <w:rsid w:val="00345915"/>
    <w:rsid w:val="00365D29"/>
    <w:rsid w:val="00374F22"/>
    <w:rsid w:val="003D2FFE"/>
    <w:rsid w:val="003D4CE3"/>
    <w:rsid w:val="003D5F0A"/>
    <w:rsid w:val="003E72C5"/>
    <w:rsid w:val="003F545A"/>
    <w:rsid w:val="00400032"/>
    <w:rsid w:val="0042394B"/>
    <w:rsid w:val="004272DB"/>
    <w:rsid w:val="00452418"/>
    <w:rsid w:val="00473B08"/>
    <w:rsid w:val="00474B5F"/>
    <w:rsid w:val="004A3CE6"/>
    <w:rsid w:val="004A4A1D"/>
    <w:rsid w:val="004B2C9D"/>
    <w:rsid w:val="004B4A47"/>
    <w:rsid w:val="004E667D"/>
    <w:rsid w:val="004E6AF9"/>
    <w:rsid w:val="004F7403"/>
    <w:rsid w:val="005031DF"/>
    <w:rsid w:val="00554A91"/>
    <w:rsid w:val="005570C3"/>
    <w:rsid w:val="00575387"/>
    <w:rsid w:val="00582899"/>
    <w:rsid w:val="00594B33"/>
    <w:rsid w:val="00597314"/>
    <w:rsid w:val="005A61AF"/>
    <w:rsid w:val="005D0886"/>
    <w:rsid w:val="005E384D"/>
    <w:rsid w:val="005F2181"/>
    <w:rsid w:val="005F724B"/>
    <w:rsid w:val="00606187"/>
    <w:rsid w:val="00606705"/>
    <w:rsid w:val="00625DFF"/>
    <w:rsid w:val="00626D8B"/>
    <w:rsid w:val="0063072B"/>
    <w:rsid w:val="0063468D"/>
    <w:rsid w:val="006469A4"/>
    <w:rsid w:val="00662891"/>
    <w:rsid w:val="006628B7"/>
    <w:rsid w:val="0067177C"/>
    <w:rsid w:val="00675FCB"/>
    <w:rsid w:val="0068062D"/>
    <w:rsid w:val="00681E3A"/>
    <w:rsid w:val="00687ADA"/>
    <w:rsid w:val="006A0B87"/>
    <w:rsid w:val="006A1960"/>
    <w:rsid w:val="006B3942"/>
    <w:rsid w:val="006B4AB7"/>
    <w:rsid w:val="006C3914"/>
    <w:rsid w:val="006C4D4C"/>
    <w:rsid w:val="006D3648"/>
    <w:rsid w:val="006F1291"/>
    <w:rsid w:val="00713A2C"/>
    <w:rsid w:val="00717E8A"/>
    <w:rsid w:val="00724CCB"/>
    <w:rsid w:val="0074184E"/>
    <w:rsid w:val="00743829"/>
    <w:rsid w:val="00755F8D"/>
    <w:rsid w:val="007855AE"/>
    <w:rsid w:val="00796503"/>
    <w:rsid w:val="007A2EFF"/>
    <w:rsid w:val="007A7822"/>
    <w:rsid w:val="007B0CB6"/>
    <w:rsid w:val="007D2BDA"/>
    <w:rsid w:val="007D56C8"/>
    <w:rsid w:val="007E3934"/>
    <w:rsid w:val="007E5B67"/>
    <w:rsid w:val="007E7303"/>
    <w:rsid w:val="007E7601"/>
    <w:rsid w:val="008212A0"/>
    <w:rsid w:val="00837F53"/>
    <w:rsid w:val="00861BD8"/>
    <w:rsid w:val="00862DDC"/>
    <w:rsid w:val="00897F05"/>
    <w:rsid w:val="008A7A49"/>
    <w:rsid w:val="008D12EF"/>
    <w:rsid w:val="008D1750"/>
    <w:rsid w:val="008D7800"/>
    <w:rsid w:val="008E2910"/>
    <w:rsid w:val="008E4913"/>
    <w:rsid w:val="0090028A"/>
    <w:rsid w:val="00900464"/>
    <w:rsid w:val="0090100E"/>
    <w:rsid w:val="009022E1"/>
    <w:rsid w:val="00912904"/>
    <w:rsid w:val="00923DD7"/>
    <w:rsid w:val="00934294"/>
    <w:rsid w:val="0093767E"/>
    <w:rsid w:val="009434A2"/>
    <w:rsid w:val="00972A02"/>
    <w:rsid w:val="0097544B"/>
    <w:rsid w:val="00985E59"/>
    <w:rsid w:val="0099517C"/>
    <w:rsid w:val="009A0937"/>
    <w:rsid w:val="009B1427"/>
    <w:rsid w:val="009B2ECD"/>
    <w:rsid w:val="009B5AF2"/>
    <w:rsid w:val="009B7914"/>
    <w:rsid w:val="009E092E"/>
    <w:rsid w:val="009E09BE"/>
    <w:rsid w:val="009E3439"/>
    <w:rsid w:val="009F3328"/>
    <w:rsid w:val="009F430B"/>
    <w:rsid w:val="00A05461"/>
    <w:rsid w:val="00A160B2"/>
    <w:rsid w:val="00A16271"/>
    <w:rsid w:val="00A435D2"/>
    <w:rsid w:val="00A566E7"/>
    <w:rsid w:val="00A630BF"/>
    <w:rsid w:val="00A73B25"/>
    <w:rsid w:val="00A90FBD"/>
    <w:rsid w:val="00A940D3"/>
    <w:rsid w:val="00A967D0"/>
    <w:rsid w:val="00A96FCA"/>
    <w:rsid w:val="00AA4BE8"/>
    <w:rsid w:val="00AC0AAB"/>
    <w:rsid w:val="00AC7BA9"/>
    <w:rsid w:val="00AD57C9"/>
    <w:rsid w:val="00B0425E"/>
    <w:rsid w:val="00B10579"/>
    <w:rsid w:val="00B246C1"/>
    <w:rsid w:val="00B362EE"/>
    <w:rsid w:val="00B72183"/>
    <w:rsid w:val="00B72373"/>
    <w:rsid w:val="00B81519"/>
    <w:rsid w:val="00B900E2"/>
    <w:rsid w:val="00B9118E"/>
    <w:rsid w:val="00B92880"/>
    <w:rsid w:val="00BA68B7"/>
    <w:rsid w:val="00BC7888"/>
    <w:rsid w:val="00BD6115"/>
    <w:rsid w:val="00BD684A"/>
    <w:rsid w:val="00C32DAE"/>
    <w:rsid w:val="00C40228"/>
    <w:rsid w:val="00C40E24"/>
    <w:rsid w:val="00C61B80"/>
    <w:rsid w:val="00C82316"/>
    <w:rsid w:val="00C8485C"/>
    <w:rsid w:val="00C92D9A"/>
    <w:rsid w:val="00C96EF5"/>
    <w:rsid w:val="00CA4BD6"/>
    <w:rsid w:val="00CB0A8A"/>
    <w:rsid w:val="00CC02E2"/>
    <w:rsid w:val="00CD0D39"/>
    <w:rsid w:val="00CD0FF2"/>
    <w:rsid w:val="00D12390"/>
    <w:rsid w:val="00D25064"/>
    <w:rsid w:val="00D32B51"/>
    <w:rsid w:val="00D34668"/>
    <w:rsid w:val="00D3740E"/>
    <w:rsid w:val="00D40335"/>
    <w:rsid w:val="00D5140D"/>
    <w:rsid w:val="00D802B4"/>
    <w:rsid w:val="00D82F57"/>
    <w:rsid w:val="00D841A5"/>
    <w:rsid w:val="00D914D2"/>
    <w:rsid w:val="00DA25DB"/>
    <w:rsid w:val="00DB0791"/>
    <w:rsid w:val="00DD4251"/>
    <w:rsid w:val="00DD7DF6"/>
    <w:rsid w:val="00DE057B"/>
    <w:rsid w:val="00DF7356"/>
    <w:rsid w:val="00E01FE2"/>
    <w:rsid w:val="00E02B50"/>
    <w:rsid w:val="00E03F11"/>
    <w:rsid w:val="00E03F74"/>
    <w:rsid w:val="00E0433B"/>
    <w:rsid w:val="00E04B25"/>
    <w:rsid w:val="00E06DC8"/>
    <w:rsid w:val="00E21A9B"/>
    <w:rsid w:val="00E220B5"/>
    <w:rsid w:val="00E22D19"/>
    <w:rsid w:val="00E25BE4"/>
    <w:rsid w:val="00E33D93"/>
    <w:rsid w:val="00E46DCE"/>
    <w:rsid w:val="00E609EF"/>
    <w:rsid w:val="00E8515B"/>
    <w:rsid w:val="00E90AFF"/>
    <w:rsid w:val="00E9660F"/>
    <w:rsid w:val="00EA3B9F"/>
    <w:rsid w:val="00EC5800"/>
    <w:rsid w:val="00EC6230"/>
    <w:rsid w:val="00EF2F91"/>
    <w:rsid w:val="00F02375"/>
    <w:rsid w:val="00F20841"/>
    <w:rsid w:val="00F33EE3"/>
    <w:rsid w:val="00F351BF"/>
    <w:rsid w:val="00F4213B"/>
    <w:rsid w:val="00F71604"/>
    <w:rsid w:val="00F806B8"/>
    <w:rsid w:val="00F849ED"/>
    <w:rsid w:val="00F92398"/>
    <w:rsid w:val="00F9369C"/>
    <w:rsid w:val="00FB7D6C"/>
    <w:rsid w:val="00FC3466"/>
    <w:rsid w:val="00FD31A0"/>
    <w:rsid w:val="00FD7522"/>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link w:val="Heading2Char"/>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StyleListParagraphBold">
    <w:name w:val="Style List Paragraph + Bold"/>
    <w:basedOn w:val="ListParagraph"/>
    <w:rsid w:val="00CC02E2"/>
    <w:rPr>
      <w:b/>
      <w:bCs/>
      <w:sz w:val="24"/>
    </w:rPr>
  </w:style>
  <w:style w:type="table" w:styleId="TableGrid">
    <w:name w:val="Table Grid"/>
    <w:basedOn w:val="TableNormal"/>
    <w:rsid w:val="00E21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rsid w:val="007A2EFF"/>
    <w:pPr>
      <w:spacing w:after="160" w:line="240" w:lineRule="exact"/>
    </w:pPr>
    <w:rPr>
      <w:rFonts w:ascii="Tahoma" w:hAnsi="Tahoma"/>
      <w:sz w:val="20"/>
      <w:lang w:eastAsia="en-GB"/>
    </w:rPr>
  </w:style>
  <w:style w:type="paragraph" w:styleId="BodyTextIndent">
    <w:name w:val="Body Text Indent"/>
    <w:basedOn w:val="Normal"/>
    <w:link w:val="BodyTextIndentChar"/>
    <w:rsid w:val="007A2EFF"/>
    <w:pPr>
      <w:spacing w:after="120"/>
      <w:ind w:left="283"/>
    </w:pPr>
  </w:style>
  <w:style w:type="character" w:customStyle="1" w:styleId="BodyTextIndentChar">
    <w:name w:val="Body Text Indent Char"/>
    <w:basedOn w:val="DefaultParagraphFont"/>
    <w:link w:val="BodyTextIndent"/>
    <w:rsid w:val="007A2EFF"/>
    <w:rPr>
      <w:rFonts w:ascii="Arial" w:hAnsi="Arial"/>
      <w:sz w:val="24"/>
      <w:lang w:eastAsia="en-US"/>
    </w:rPr>
  </w:style>
  <w:style w:type="paragraph" w:customStyle="1" w:styleId="CharChar">
    <w:name w:val="Char Char"/>
    <w:basedOn w:val="Normal"/>
    <w:rsid w:val="007A2EFF"/>
    <w:pPr>
      <w:spacing w:after="160" w:line="240" w:lineRule="exact"/>
    </w:pPr>
    <w:rPr>
      <w:rFonts w:ascii="Tahoma" w:hAnsi="Tahoma"/>
      <w:sz w:val="20"/>
      <w:lang w:eastAsia="en-GB"/>
    </w:rPr>
  </w:style>
  <w:style w:type="paragraph" w:styleId="NoSpacing">
    <w:name w:val="No Spacing"/>
    <w:uiPriority w:val="1"/>
    <w:qFormat/>
    <w:rsid w:val="007A2EFF"/>
    <w:rPr>
      <w:rFonts w:ascii="Calibri" w:eastAsia="Calibri" w:hAnsi="Calibri"/>
      <w:sz w:val="22"/>
      <w:szCs w:val="22"/>
      <w:lang w:eastAsia="en-US"/>
    </w:rPr>
  </w:style>
  <w:style w:type="paragraph" w:customStyle="1" w:styleId="CharCharCharChar0">
    <w:name w:val="Char Char Char Char"/>
    <w:basedOn w:val="Normal"/>
    <w:locked/>
    <w:rsid w:val="007A2EFF"/>
    <w:pPr>
      <w:spacing w:after="160" w:line="240" w:lineRule="exact"/>
    </w:pPr>
    <w:rPr>
      <w:rFonts w:ascii="Verdana" w:hAnsi="Verdana"/>
      <w:sz w:val="20"/>
      <w:lang w:val="en-US"/>
    </w:rPr>
  </w:style>
  <w:style w:type="character" w:customStyle="1" w:styleId="tgc">
    <w:name w:val="_tgc"/>
    <w:rsid w:val="007A2EFF"/>
  </w:style>
  <w:style w:type="character" w:styleId="CommentReference">
    <w:name w:val="annotation reference"/>
    <w:rsid w:val="007A2EFF"/>
    <w:rPr>
      <w:sz w:val="16"/>
      <w:szCs w:val="16"/>
    </w:rPr>
  </w:style>
  <w:style w:type="paragraph" w:styleId="CommentText">
    <w:name w:val="annotation text"/>
    <w:basedOn w:val="Normal"/>
    <w:link w:val="CommentTextChar"/>
    <w:rsid w:val="007A2EFF"/>
    <w:rPr>
      <w:sz w:val="20"/>
    </w:rPr>
  </w:style>
  <w:style w:type="character" w:customStyle="1" w:styleId="CommentTextChar">
    <w:name w:val="Comment Text Char"/>
    <w:basedOn w:val="DefaultParagraphFont"/>
    <w:link w:val="CommentText"/>
    <w:rsid w:val="007A2EFF"/>
    <w:rPr>
      <w:rFonts w:ascii="Arial" w:hAnsi="Arial"/>
      <w:lang w:eastAsia="en-US"/>
    </w:rPr>
  </w:style>
  <w:style w:type="paragraph" w:styleId="CommentSubject">
    <w:name w:val="annotation subject"/>
    <w:basedOn w:val="CommentText"/>
    <w:next w:val="CommentText"/>
    <w:link w:val="CommentSubjectChar"/>
    <w:rsid w:val="007A2EFF"/>
    <w:rPr>
      <w:b/>
      <w:bCs/>
    </w:rPr>
  </w:style>
  <w:style w:type="character" w:customStyle="1" w:styleId="CommentSubjectChar">
    <w:name w:val="Comment Subject Char"/>
    <w:basedOn w:val="CommentTextChar"/>
    <w:link w:val="CommentSubject"/>
    <w:rsid w:val="007A2EFF"/>
    <w:rPr>
      <w:rFonts w:ascii="Arial" w:hAnsi="Arial"/>
      <w:b/>
      <w:bCs/>
      <w:lang w:eastAsia="en-US"/>
    </w:rPr>
  </w:style>
  <w:style w:type="paragraph" w:customStyle="1" w:styleId="xmsonormal">
    <w:name w:val="x_msonormal"/>
    <w:basedOn w:val="Normal"/>
    <w:rsid w:val="007A2EFF"/>
    <w:rPr>
      <w:rFonts w:ascii="Calibri" w:eastAsia="Calibri" w:hAnsi="Calibri" w:cs="Calibri"/>
      <w:sz w:val="22"/>
      <w:szCs w:val="22"/>
      <w:lang w:eastAsia="en-GB"/>
    </w:rPr>
  </w:style>
  <w:style w:type="character" w:customStyle="1" w:styleId="Heading2Char">
    <w:name w:val="Heading 2 Char"/>
    <w:link w:val="Heading2"/>
    <w:rsid w:val="007A2EFF"/>
    <w:rPr>
      <w:rFonts w:ascii="Arial Black" w:hAnsi="Arial Black" w:cs="Arial"/>
      <w:bCs/>
      <w:sz w:val="32"/>
      <w:szCs w:val="32"/>
      <w:lang w:eastAsia="en-US"/>
    </w:rPr>
  </w:style>
  <w:style w:type="character" w:customStyle="1" w:styleId="HeaderChar">
    <w:name w:val="Header Char"/>
    <w:link w:val="Header"/>
    <w:rsid w:val="007A2EFF"/>
    <w:rPr>
      <w:rFonts w:ascii="Arial" w:hAnsi="Arial"/>
      <w:sz w:val="24"/>
      <w:lang w:eastAsia="en-US"/>
    </w:rPr>
  </w:style>
  <w:style w:type="paragraph" w:styleId="Revision">
    <w:name w:val="Revision"/>
    <w:hidden/>
    <w:uiPriority w:val="99"/>
    <w:semiHidden/>
    <w:rsid w:val="007A2EF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D0B5EBE6FBA4386267E44C1915B3E" ma:contentTypeVersion="6" ma:contentTypeDescription="Create a new document." ma:contentTypeScope="" ma:versionID="038d82b335bdf82ce1f75a2928ba31a3">
  <xsd:schema xmlns:xsd="http://www.w3.org/2001/XMLSchema" xmlns:xs="http://www.w3.org/2001/XMLSchema" xmlns:p="http://schemas.microsoft.com/office/2006/metadata/properties" xmlns:ns2="f97bcfd9-eee9-4b50-8430-bb265ff25d0f" xmlns:ns3="339e2096-1cad-492d-804d-9abc973e09ce" targetNamespace="http://schemas.microsoft.com/office/2006/metadata/properties" ma:root="true" ma:fieldsID="20ed12ab6857508fc84c42c93d880692" ns2:_="" ns3:_="">
    <xsd:import namespace="f97bcfd9-eee9-4b50-8430-bb265ff25d0f"/>
    <xsd:import namespace="339e2096-1cad-492d-804d-9abc973e09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cfd9-eee9-4b50-8430-bb265ff25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9e2096-1cad-492d-804d-9abc973e09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AFEFE060-111E-4D12-B456-B043408F24EC}">
  <ds:schemaRefs>
    <ds:schemaRef ds:uri="http://purl.org/dc/terms/"/>
    <ds:schemaRef ds:uri="http://schemas.microsoft.com/office/2006/metadata/properties"/>
    <ds:schemaRef ds:uri="http://purl.org/dc/elements/1.1/"/>
    <ds:schemaRef ds:uri="339e2096-1cad-492d-804d-9abc973e09c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97bcfd9-eee9-4b50-8430-bb265ff25d0f"/>
    <ds:schemaRef ds:uri="http://purl.org/dc/dcmitype/"/>
  </ds:schemaRefs>
</ds:datastoreItem>
</file>

<file path=customXml/itemProps3.xml><?xml version="1.0" encoding="utf-8"?>
<ds:datastoreItem xmlns:ds="http://schemas.openxmlformats.org/officeDocument/2006/customXml" ds:itemID="{EF65EFAF-EEF3-4829-9343-4B7706569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cfd9-eee9-4b50-8430-bb265ff25d0f"/>
    <ds:schemaRef ds:uri="339e2096-1cad-492d-804d-9abc973e0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4518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Arun Birah</cp:lastModifiedBy>
  <cp:revision>2</cp:revision>
  <cp:lastPrinted>2007-07-12T09:53:00Z</cp:lastPrinted>
  <dcterms:created xsi:type="dcterms:W3CDTF">2024-03-08T13:11:00Z</dcterms:created>
  <dcterms:modified xsi:type="dcterms:W3CDTF">2024-03-08T13:11:00Z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0x010100E98D0B5EBE6FBA4386267E44C1915B3E</vt:lpwstr>
  </property>
</Properties>
</file>